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lihoogdgyv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lihoogdgyv</w:t>
      </w:r>
    </w:p>
    <w:p>
      <w:pPr>
        <w:pStyle w:val="BodyText"/>
      </w:pPr>
      <w:r>
        <w:t xml:space="preserve">**Company:** dwgllpxgkj</w:t>
      </w:r>
    </w:p>
    <w:p>
      <w:pPr>
        <w:pStyle w:val="BodyText"/>
      </w:pPr>
      <w:r>
        <w:t xml:space="preserve">**Accounting Standard:** GHG Protocol</w:t>
      </w:r>
    </w:p>
    <w:p>
      <w:pPr>
        <w:pStyle w:val="BodyText"/>
      </w:pPr>
      <w:r>
        <w:t xml:space="preserve">**Senior Sustainability Consultant:** onqtwhtqsp</w:t>
      </w:r>
    </w:p>
    <w:p>
      <w:pPr>
        <w:pStyle w:val="BodyText"/>
      </w:pPr>
      <w:r>
        <w:t xml:space="preserve">*Disclaimer: This report is generated based on available data, industry standards, and illustrative assumptions where specific data was provided as placeholders. While every effort has been made to ensure accuracy and adherence to the GHG Protocol, actual emissions may vary based on precise primary data and evolving methodologies.*</w:t>
      </w:r>
    </w:p>
    <w:bookmarkEnd w:id="20"/>
    <w:p>
      <w:pPr>
        <w:pStyle w:val="BodyText"/>
      </w:pPr>
      <w:r>
        <w:t xml:space="preserve">Product Carbon Footprint Report - lihoogdgyv | Generated Date: June 4, 2026</w:t>
      </w:r>
    </w:p>
    <w:bookmarkStart w:id="21" w:name="executive-summary"/>
    <w:p>
      <w:pPr>
        <w:pStyle w:val="Heading1"/>
      </w:pPr>
      <w:r>
        <w:t xml:space="preserve">Executive Summary</w:t>
      </w:r>
    </w:p>
    <w:p>
      <w:pPr>
        <w:pStyle w:val="FirstParagraph"/>
      </w:pPr>
      <w:r>
        <w:t xml:space="preserve">This report presents a high-detail Product Carbon Footprint (PCF) analysis for</w:t>
      </w:r>
      <w:r>
        <w:t xml:space="preserve"> </w:t>
      </w:r>
      <w:r>
        <w:rPr>
          <w:bCs/>
          <w:b/>
        </w:rPr>
        <w:t xml:space="preserve">lihoogdgyv</w:t>
      </w:r>
      <w:r>
        <w:t xml:space="preserve">, manufactured by</w:t>
      </w:r>
      <w:r>
        <w:t xml:space="preserve"> </w:t>
      </w:r>
      <w:r>
        <w:rPr>
          <w:bCs/>
          <w:b/>
        </w:rPr>
        <w:t xml:space="preserve">dwgllpxgkj</w:t>
      </w:r>
      <w:r>
        <w:t xml:space="preserve">. The analysis was performed by</w:t>
      </w:r>
      <w:r>
        <w:t xml:space="preserve"> </w:t>
      </w:r>
      <w:r>
        <w:rPr>
          <w:bCs/>
          <w:b/>
        </w:rPr>
        <w:t xml:space="preserve">onqtwhtqsp</w:t>
      </w:r>
      <w:r>
        <w:t xml:space="preserve">, a Senior Sustainability Consultant, strictly adhering to the Greenhouse Gas (GHG) Protocol. The primary objective is to quantify the total greenhouse gas emissions (expressed in CO2e) across the entire lifecycle of one functional unit of the product, from raw material acquisition to end-of-life treatment.</w:t>
      </w:r>
    </w:p>
    <w:p>
      <w:pPr>
        <w:pStyle w:val="BodyText"/>
      </w:pPr>
      <w:r>
        <w:t xml:space="preserve">The assessment incorporates specific company and product parameters, including detailed Bill of Materials (BOM), transport logistics, manufacturing energy usage, product lifespan, energy consumption during use, and end-of-life scenarios. Special attention has been given to compliance with the 2026 Land Sector and Removals (LSR) Standard update and the stringent 95% coverage requirement for Scope 3 emissions.</w:t>
      </w:r>
    </w:p>
    <w:p>
      <w:pPr>
        <w:pStyle w:val="BodyText"/>
      </w:pPr>
      <w:r>
        <w:t xml:space="preserve">The total Product Carbon Footprint for one functional unit of lihoogdgyv is calculated to be</w:t>
      </w:r>
      <w:r>
        <w:t xml:space="preserve"> </w:t>
      </w:r>
      <w:r>
        <w:rPr>
          <w:bCs/>
          <w:b/>
        </w:rPr>
        <w:t xml:space="preserve">11.21 kgCO2e</w:t>
      </w:r>
      <w:r>
        <w:t xml:space="preserve">. Key emission hotspots identified include the acquisition and processing of raw materials (Scope 3), followed by the manufacturing energy consumption (Scope 2) and the product\'s use phase (Scope 3). End-of-life management, particularly through recycling and circular programs, provides a notable carbon credit, reducing the overall footprint.</w:t>
      </w:r>
    </w:p>
    <w:p>
      <w:r>
        <w:pict>
          <v:rect style="width:0;height:1.5pt" o:hralign="center" o:hrstd="t" o:hr="t"/>
        </w:pict>
      </w:r>
    </w:p>
    <w:bookmarkEnd w:id="21"/>
    <w:bookmarkStart w:id="22" w:name="introduction"/>
    <w:p>
      <w:pPr>
        <w:pStyle w:val="Heading1"/>
      </w:pPr>
      <w:r>
        <w:t xml:space="preserve">1. Introduction</w:t>
      </w:r>
    </w:p>
    <w:p>
      <w:pPr>
        <w:pStyle w:val="FirstParagraph"/>
      </w:pPr>
      <w:r>
        <w:t xml:space="preserve">This document details the Product Carbon Footprint (PCF) analysis for the product</w:t>
      </w:r>
      <w:r>
        <w:t xml:space="preserve"> </w:t>
      </w:r>
      <w:r>
        <w:rPr>
          <w:bCs/>
          <w:b/>
        </w:rPr>
        <w:t xml:space="preserve">lihoogdgyv</w:t>
      </w:r>
      <w:r>
        <w:t xml:space="preserve">, developed by</w:t>
      </w:r>
      <w:r>
        <w:t xml:space="preserve"> </w:t>
      </w:r>
      <w:r>
        <w:rPr>
          <w:bCs/>
          <w:b/>
        </w:rPr>
        <w:t xml:space="preserve">dwgllpxgkj</w:t>
      </w:r>
      <w:r>
        <w:t xml:space="preserve">. The study was conducted by</w:t>
      </w:r>
      <w:r>
        <w:t xml:space="preserve"> </w:t>
      </w:r>
      <w:r>
        <w:rPr>
          <w:bCs/>
          <w:b/>
        </w:rPr>
        <w:t xml:space="preserve">onqtwhtqsp</w:t>
      </w:r>
      <w:r>
        <w:t xml:space="preserve">, Senior Sustainability Consultant, in accordance with the internationally recognized</w:t>
      </w:r>
      <w:r>
        <w:t xml:space="preserve"> </w:t>
      </w:r>
      <w:r>
        <w:rPr>
          <w:bCs/>
          <w:b/>
        </w:rPr>
        <w:t xml:space="preserve">GHG Protocol</w:t>
      </w:r>
      <w:r>
        <w:t xml:space="preserve"> </w:t>
      </w:r>
      <w:r>
        <w:t xml:space="preserve">standards. The aim is to provide a comprehensive understanding of the environmental impact of lihoogdgyv in terms of greenhouse gas emissions across its entire lifecycle. This analysis is crucial for identifying emission reduction opportunities, informing sustainable design choices, and transparently communicating environmental performance to stakeholders.</w:t>
      </w:r>
    </w:p>
    <w:p>
      <w:r>
        <w:pict>
          <v:rect style="width:0;height:1.5pt" o:hralign="center" o:hrstd="t" o:hr="t"/>
        </w:pict>
      </w:r>
    </w:p>
    <w:bookmarkEnd w:id="22"/>
    <w:bookmarkStart w:id="27" w:name="scope-definition"/>
    <w:p>
      <w:pPr>
        <w:pStyle w:val="Heading1"/>
      </w:pPr>
      <w:r>
        <w:t xml:space="preserve">2. Scope Definition</w:t>
      </w:r>
    </w:p>
    <w:p>
      <w:pPr>
        <w:pStyle w:val="FirstParagraph"/>
      </w:pPr>
      <w:r>
        <w:t xml:space="preserve">The initial phase of the PCF analysis involved clearly defining the scope of the assessment, which forms the foundation for all subsequent calculations.</w:t>
      </w:r>
    </w:p>
    <w:bookmarkStart w:id="23" w:name="functional-unit"/>
    <w:p>
      <w:pPr>
        <w:pStyle w:val="Heading2"/>
      </w:pPr>
      <w:r>
        <w:t xml:space="preserve">2.1. Functional Unit</w:t>
      </w:r>
    </w:p>
    <w:p>
      <w:pPr>
        <w:pStyle w:val="FirstParagraph"/>
      </w:pPr>
      <w:r>
        <w:t xml:space="preserve">The functional unit for this PCF analysis is defined as</w:t>
      </w:r>
      <w:r>
        <w:t xml:space="preserve"> </w:t>
      </w:r>
      <w:r>
        <w:rPr>
          <w:bCs/>
          <w:b/>
        </w:rPr>
        <w:t xml:space="preserve">1.0 unit of lihoogdgyv</w:t>
      </w:r>
      <w:r>
        <w:t xml:space="preserve">. All emissions are quantified relative to this single unit, allowing for standardized comparison and reporting.</w:t>
      </w:r>
    </w:p>
    <w:bookmarkEnd w:id="23"/>
    <w:bookmarkStart w:id="24" w:name="system-boundary"/>
    <w:p>
      <w:pPr>
        <w:pStyle w:val="Heading2"/>
      </w:pPr>
      <w:r>
        <w:t xml:space="preserve">2.2. System Boundary</w:t>
      </w:r>
    </w:p>
    <w:p>
      <w:pPr>
        <w:pStyle w:val="FirstParagraph"/>
      </w:pPr>
      <w:r>
        <w:t xml:space="preserve">The system boundary for this assessment is</w:t>
      </w:r>
      <w:r>
        <w:t xml:space="preserve"> </w:t>
      </w:r>
      <w:r>
        <w:rPr>
          <w:bCs/>
          <w:b/>
        </w:rPr>
        <w:t xml:space="preserve">"factory_gate"</w:t>
      </w:r>
      <w:r>
        <w:t xml:space="preserve">. This "cradle-to-gate" boundary typically includes raw material extraction, material processing, manufacturing, and all associated upstream transportation up to the point where the finished product leaves the manufacturing facility. However, to provide a holistic view and adhere to the 2026 GHG Protocol requirements, the analysis extends to include the full lifecycle stages of transport to market, use phase, and end-of-life (EoL), effectively creating a "cradle-to-grave" assessment. This comprehensive approach ensures robust Scope 3 reporting.</w:t>
      </w:r>
    </w:p>
    <w:p>
      <w:pPr>
        <w:numPr>
          <w:ilvl w:val="0"/>
          <w:numId w:val="1001"/>
        </w:numPr>
        <w:pStyle w:val="Compact"/>
      </w:pPr>
      <w:r>
        <w:rPr>
          <w:bCs/>
          <w:b/>
        </w:rPr>
        <w:t xml:space="preserve">Included Stages:</w:t>
      </w:r>
      <w:r>
        <w:t xml:space="preserve"> </w:t>
      </w:r>
      <w:r>
        <w:t xml:space="preserve">Raw Material Acquisition, Material Processing, Manufacturing (including packaging), Upstream Transportation, Downstream Transportation (to customer), Product Use, and End-of-Life Treatment.</w:t>
      </w:r>
    </w:p>
    <w:p>
      <w:pPr>
        <w:numPr>
          <w:ilvl w:val="0"/>
          <w:numId w:val="1001"/>
        </w:numPr>
        <w:pStyle w:val="Compact"/>
      </w:pPr>
      <w:r>
        <w:rPr>
          <w:bCs/>
          <w:b/>
        </w:rPr>
        <w:t xml:space="preserve">Excluded Stages:</w:t>
      </w:r>
      <w:r>
        <w:t xml:space="preserve"> </w:t>
      </w:r>
      <w:r>
        <w:t xml:space="preserve">Capital goods, employee commuting, business travel, and other ancillary corporate activities not directly attributable to the product\'s lifecycle, which would typically be covered in a corporate GHG inventory.</w:t>
      </w:r>
    </w:p>
    <w:bookmarkEnd w:id="24"/>
    <w:bookmarkStart w:id="25" w:name="geographic-scope"/>
    <w:p>
      <w:pPr>
        <w:pStyle w:val="Heading2"/>
      </w:pPr>
      <w:r>
        <w:t xml:space="preserve">2.3. Geographic Scope</w:t>
      </w:r>
    </w:p>
    <w:p>
      <w:pPr>
        <w:pStyle w:val="FirstParagraph"/>
      </w:pPr>
      <w:r>
        <w:t xml:space="preserve">The geographic scope of the analysis is defined as: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Use Phase Assumption:</w:t>
      </w:r>
      <w:r>
        <w:t xml:space="preserve"> </w:t>
      </w:r>
      <w:r>
        <w:t xml:space="preserve">Based on the European supply chain focus, it is assumed the product\'s primary market and use phase occur within Europe.</w:t>
      </w:r>
    </w:p>
    <w:bookmarkEnd w:id="25"/>
    <w:bookmarkStart w:id="26" w:name="allocation"/>
    <w:p>
      <w:pPr>
        <w:pStyle w:val="Heading2"/>
      </w:pPr>
      <w:r>
        <w:t xml:space="preserve">2.4. Allocation</w:t>
      </w:r>
    </w:p>
    <w:p>
      <w:pPr>
        <w:pStyle w:val="FirstParagraph"/>
      </w:pPr>
      <w:r>
        <w:t xml:space="preserve">For this single product PCF, direct allocation of emissions to the functional unit is applied. Where multi-functional processes or co-products exist (not explicitly detailed in parameters, thus assumed negligible for direct product calculations), established GHG Protocol allocation rules (e.g., mass, economic, or physical relationships) would be applied.</w:t>
      </w:r>
    </w:p>
    <w:p>
      <w:r>
        <w:pict>
          <v:rect style="width:0;height:1.5pt" o:hralign="center" o:hrstd="t" o:hr="t"/>
        </w:pict>
      </w:r>
    </w:p>
    <w:bookmarkEnd w:id="26"/>
    <w:bookmarkEnd w:id="27"/>
    <w:bookmarkStart w:id="35" w:name="lifecycle-mapping-data-collection"/>
    <w:p>
      <w:pPr>
        <w:pStyle w:val="Heading1"/>
      </w:pPr>
      <w:r>
        <w:t xml:space="preserve">3. Lifecycle Mapping &amp; Data Collection</w:t>
      </w:r>
    </w:p>
    <w:p>
      <w:pPr>
        <w:pStyle w:val="FirstParagraph"/>
      </w:pPr>
      <w:r>
        <w:t xml:space="preserve">The lifecycle of lihoogdgyv was mapped across five main stages, and data was collected (or illustratively assumed based on placeholders) for each stage to enable emission calculations.</w:t>
      </w:r>
    </w:p>
    <w:bookmarkStart w:id="28" w:name="Xcf5b53bc3026026cd9851449b73ab54962d8162"/>
    <w:p>
      <w:pPr>
        <w:pStyle w:val="Heading2"/>
      </w:pPr>
      <w:r>
        <w:t xml:space="preserve">3.1. Materials Acquisition &amp; Pre-processing (Raw Materials)</w:t>
      </w:r>
    </w:p>
    <w:p>
      <w:pPr>
        <w:pStyle w:val="FirstParagraph"/>
      </w:pPr>
      <w:r>
        <w:t xml:space="preserve">The material impact of lihoogdgyv is calculated using the provided Detailed Bill of Materials (BOM) for high-accuracy assessment. The emission factors for each material category are based on industry standards, primarily Ecoinvent and DEFRA databases, with illustrative values used due to placeholder data.</w:t>
      </w:r>
    </w:p>
    <w:p>
      <w:pPr>
        <w:pStyle w:val="BodyText"/>
      </w:pPr>
      <w:r>
        <w:rPr>
          <w:iCs/>
          <w:i/>
        </w:rPr>
        <w:t xml:space="preserve">Illustrative BOM Data and Calculated Carbon Emissions (based on xrtmiuui parameters):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2.80</w:t>
            </w:r>
          </w:p>
        </w:tc>
      </w:tr>
      <w:tr>
        <w:tc>
          <w:tcPr/>
          <w:p>
            <w:pPr>
              <w:pStyle w:val="Compact"/>
              <w:jc w:val="left"/>
            </w:pPr>
            <w:r>
              <w:t xml:space="preserve">M002</w:t>
            </w:r>
          </w:p>
        </w:tc>
        <w:tc>
          <w:tcPr/>
          <w:p>
            <w:pPr>
              <w:pStyle w:val="Compact"/>
              <w:jc w:val="left"/>
            </w:pPr>
            <w:r>
              <w:t xml:space="preserve">Metal Frame</w:t>
            </w:r>
          </w:p>
        </w:tc>
        <w:tc>
          <w:tcPr/>
          <w:p>
            <w:pPr>
              <w:pStyle w:val="Compact"/>
              <w:jc w:val="left"/>
            </w:pPr>
            <w:r>
              <w:t xml:space="preserve">Aluminum Alloy</w:t>
            </w:r>
          </w:p>
        </w:tc>
        <w:tc>
          <w:tcPr/>
          <w:p>
            <w:pPr>
              <w:pStyle w:val="Compact"/>
              <w:jc w:val="left"/>
            </w:pPr>
            <w:r>
              <w:t xml:space="preserve">Stamping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6.0</w:t>
            </w:r>
          </w:p>
        </w:tc>
        <w:tc>
          <w:tcPr/>
          <w:p>
            <w:pPr>
              <w:pStyle w:val="Compact"/>
              <w:jc w:val="left"/>
            </w:pPr>
            <w:r>
              <w:t xml:space="preserve">2.40</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t xml:space="preserve">Subtotal Material Emissions (Scope 3, Category 1)</w:t>
            </w:r>
          </w:p>
        </w:tc>
        <w:tc>
          <w:tcPr/>
          <w:p>
            <w:pPr>
              <w:pStyle w:val="Compact"/>
              <w:jc w:val="left"/>
            </w:pPr>
            <w:r>
              <w:rPr>
                <w:bCs/>
                <w:b/>
              </w:rPr>
              <w:t xml:space="preserve">7.35</w:t>
            </w:r>
          </w:p>
        </w:tc>
      </w:tr>
    </w:tbl>
    <w:p>
      <w:pPr>
        <w:pStyle w:val="BodyText"/>
      </w:pPr>
      <w:r>
        <w:rPr>
          <w:iCs/>
          <w:i/>
        </w:rPr>
        <w:t xml:space="preserve">Note: Emission factors are illustrative and representative of industry averages from sources like Ecoinvent and DEFRA for respective material categories. Actual values would require specific supplier data.</w:t>
      </w:r>
    </w:p>
    <w:bookmarkEnd w:id="28"/>
    <w:bookmarkStart w:id="29" w:name="manufacturing-production-phase"/>
    <w:p>
      <w:pPr>
        <w:pStyle w:val="Heading2"/>
      </w:pPr>
      <w:r>
        <w:t xml:space="preserve">3.2. Manufacturing (Production Phase)</w:t>
      </w:r>
    </w:p>
    <w:p>
      <w:pPr>
        <w:pStyle w:val="FirstParagraph"/>
      </w:pPr>
      <w:r>
        <w:t xml:space="preserve">The manufacturing phase occurs in China. The energy consumption and renewable energy usage parameters provided are crucial for calculating the emissions from this stage.</w:t>
      </w:r>
    </w:p>
    <w:p>
      <w:pPr>
        <w:numPr>
          <w:ilvl w:val="0"/>
          <w:numId w:val="1003"/>
        </w:numPr>
        <w:pStyle w:val="Compact"/>
      </w:pPr>
      <w:r>
        <w:rPr>
          <w:bCs/>
          <w:b/>
        </w:rPr>
        <w:t xml:space="preserve">Energy Intensity (kWh/unit):</w:t>
      </w:r>
      <w:r>
        <w:t xml:space="preserve"> </w:t>
      </w:r>
      <w:r>
        <w:t xml:space="preserve">ksppkvggyh</w:t>
      </w:r>
      <w:r>
        <w:t xml:space="preserve"> </w:t>
      </w:r>
      <w:r>
        <w:t xml:space="preserve">= 10 kWh/unit.</w:t>
      </w:r>
    </w:p>
    <w:p>
      <w:pPr>
        <w:numPr>
          <w:ilvl w:val="0"/>
          <w:numId w:val="1003"/>
        </w:numPr>
        <w:pStyle w:val="Compact"/>
      </w:pPr>
      <w:r>
        <w:rPr>
          <w:bCs/>
          <w:b/>
        </w:rPr>
        <w:t xml:space="preserve">Renewable Energy Usage:</w:t>
      </w:r>
      <w:r>
        <w:t xml:space="preserve"> </w:t>
      </w:r>
      <w:r>
        <w:t xml:space="preserve">ojdjljjxxk</w:t>
      </w:r>
      <w:r>
        <w:t xml:space="preserve"> </w:t>
      </w:r>
      <w:r>
        <w:t xml:space="preserve">= 50%.</w:t>
      </w:r>
    </w:p>
    <w:p>
      <w:pPr>
        <w:numPr>
          <w:ilvl w:val="0"/>
          <w:numId w:val="1003"/>
        </w:numPr>
        <w:pStyle w:val="Compact"/>
      </w:pPr>
      <w:r>
        <w:rPr>
          <w:bCs/>
          <w:b/>
        </w:rPr>
        <w:t xml:space="preserve">Non-Renewable Energy Consumption:</w:t>
      </w:r>
      <w:r>
        <w:t xml:space="preserve"> </w:t>
      </w:r>
      <w:r>
        <w:t xml:space="preserve">10 kWh/unit * (1 - 0.50) = 5 kWh/unit.</w:t>
      </w:r>
    </w:p>
    <w:p>
      <w:pPr>
        <w:numPr>
          <w:ilvl w:val="0"/>
          <w:numId w:val="1003"/>
        </w:numPr>
        <w:pStyle w:val="Compact"/>
      </w:pPr>
      <w:r>
        <w:rPr>
          <w:bCs/>
          <w:b/>
        </w:rPr>
        <w:t xml:space="preserve">China Electricity Grid Emission Factor:</w:t>
      </w:r>
      <w:r>
        <w:t xml:space="preserve"> </w:t>
      </w:r>
      <w:r>
        <w:t xml:space="preserve">0.556 kgCO2e/kWh (average for 2020).</w:t>
      </w:r>
    </w:p>
    <w:p>
      <w:pPr>
        <w:numPr>
          <w:ilvl w:val="0"/>
          <w:numId w:val="1003"/>
        </w:numPr>
        <w:pStyle w:val="Compact"/>
      </w:pPr>
      <w:r>
        <w:rPr>
          <w:bCs/>
          <w:b/>
        </w:rPr>
        <w:t xml:space="preserve">Scope 1 Direct Emissions:</w:t>
      </w:r>
      <w:r>
        <w:t xml:space="preserve"> </w:t>
      </w:r>
      <w:r>
        <w:t xml:space="preserve">0.1 kgCO2e (illustrative for minor on-site combustion or fugitive emissions).</w:t>
      </w:r>
    </w:p>
    <w:bookmarkEnd w:id="29"/>
    <w:bookmarkStart w:id="32" w:name="transport-and-distribution"/>
    <w:p>
      <w:pPr>
        <w:pStyle w:val="Heading2"/>
      </w:pPr>
      <w:r>
        <w:t xml:space="preserve">3.3. Transport and Distribution</w:t>
      </w:r>
    </w:p>
    <w:p>
      <w:pPr>
        <w:pStyle w:val="FirstParagraph"/>
      </w:pPr>
      <w:r>
        <w:t xml:space="preserve">Logistics data provided for both upstream and downstream activities are incorporated.</w:t>
      </w:r>
    </w:p>
    <w:bookmarkStart w:id="30" w:name="X86c0f34a75b294f5538715cb6d8081b06081652"/>
    <w:p>
      <w:pPr>
        <w:pStyle w:val="Heading3"/>
      </w:pPr>
      <w:r>
        <w:t xml:space="preserve">3.3.1. Upstream Transportation (Materials to Factory)</w:t>
      </w:r>
    </w:p>
    <w:p>
      <w:pPr>
        <w:numPr>
          <w:ilvl w:val="0"/>
          <w:numId w:val="1004"/>
        </w:numPr>
        <w:pStyle w:val="Compact"/>
      </w:pPr>
      <w:r>
        <w:rPr>
          <w:bCs/>
          <w:b/>
        </w:rPr>
        <w:t xml:space="preserve">Transport Mode:</w:t>
      </w:r>
      <w:r>
        <w:t xml:space="preserve"> </w:t>
      </w:r>
      <w:r>
        <w:t xml:space="preserve">Select Mode</w:t>
      </w:r>
      <w:r>
        <w:t xml:space="preserve"> </w:t>
      </w:r>
      <w:r>
        <w:t xml:space="preserve">= Road Freight (Heavy Goods Vehicle &gt; 3.5t).</w:t>
      </w:r>
    </w:p>
    <w:p>
      <w:pPr>
        <w:numPr>
          <w:ilvl w:val="0"/>
          <w:numId w:val="1004"/>
        </w:numPr>
        <w:pStyle w:val="Compact"/>
      </w:pPr>
      <w:r>
        <w:rPr>
          <w:bCs/>
          <w:b/>
        </w:rPr>
        <w:t xml:space="preserve">Transport Distance:</w:t>
      </w:r>
      <w:r>
        <w:t xml:space="preserve"> </w:t>
      </w:r>
      <w:r>
        <w:t xml:space="preserve">xhkhrrihuj</w:t>
      </w:r>
      <w:r>
        <w:t xml:space="preserve"> </w:t>
      </w:r>
      <w:r>
        <w:t xml:space="preserve">= 1000 km (illustrative for European supply chain).</w:t>
      </w:r>
    </w:p>
    <w:p>
      <w:pPr>
        <w:numPr>
          <w:ilvl w:val="0"/>
          <w:numId w:val="1004"/>
        </w:numPr>
        <w:pStyle w:val="Compact"/>
      </w:pPr>
      <w:r>
        <w:rPr>
          <w:bCs/>
          <w:b/>
        </w:rPr>
        <w:t xml:space="preserve">Total Material Weight (for transport):</w:t>
      </w:r>
      <w:r>
        <w:t xml:space="preserve"> </w:t>
      </w:r>
      <w:r>
        <w:t xml:space="preserve">Approximately 1.6 kg (1.5 kg product + 0.1 kg packaging).</w:t>
      </w:r>
    </w:p>
    <w:p>
      <w:pPr>
        <w:numPr>
          <w:ilvl w:val="0"/>
          <w:numId w:val="1004"/>
        </w:numPr>
        <w:pStyle w:val="Compact"/>
      </w:pPr>
      <w:r>
        <w:rPr>
          <w:bCs/>
          <w:b/>
        </w:rPr>
        <w:t xml:space="preserve">Road Freight Emission Factor:</w:t>
      </w:r>
      <w:r>
        <w:t xml:space="preserve"> </w:t>
      </w:r>
      <w:r>
        <w:t xml:space="preserve">0.1 kgCO2e/tonne-km (illustrative, derived from DEFRA-equivalent sources).</w:t>
      </w:r>
    </w:p>
    <w:bookmarkEnd w:id="30"/>
    <w:bookmarkStart w:id="31" w:name="X2577d9727e7695e187d1e0220bf6dd27e0cd7da"/>
    <w:p>
      <w:pPr>
        <w:pStyle w:val="Heading3"/>
      </w:pPr>
      <w:r>
        <w:t xml:space="preserve">3.3.2. Downstream Transportation (Last-Mile Delivery)</w:t>
      </w:r>
    </w:p>
    <w:p>
      <w:pPr>
        <w:numPr>
          <w:ilvl w:val="0"/>
          <w:numId w:val="1005"/>
        </w:numPr>
        <w:pStyle w:val="Compact"/>
      </w:pPr>
      <w:r>
        <w:rPr>
          <w:bCs/>
          <w:b/>
        </w:rPr>
        <w:t xml:space="preserve">Last-Mile Delivery Channel:</w:t>
      </w:r>
      <w:r>
        <w:t xml:space="preserve"> </w:t>
      </w:r>
      <w:r>
        <w:t xml:space="preserve">Delivery Type</w:t>
      </w:r>
      <w:r>
        <w:t xml:space="preserve"> </w:t>
      </w:r>
      <w:r>
        <w:t xml:space="preserve">= Light Commercial Vehicle.</w:t>
      </w:r>
    </w:p>
    <w:p>
      <w:pPr>
        <w:numPr>
          <w:ilvl w:val="0"/>
          <w:numId w:val="1005"/>
        </w:numPr>
        <w:pStyle w:val="Compact"/>
      </w:pPr>
      <w:r>
        <w:rPr>
          <w:bCs/>
          <w:b/>
        </w:rPr>
        <w:t xml:space="preserve">Transport Distance:</w:t>
      </w:r>
      <w:r>
        <w:t xml:space="preserve"> </w:t>
      </w:r>
      <w:r>
        <w:t xml:space="preserve">100 km (illustrative for last-mile delivery to customer).</w:t>
      </w:r>
    </w:p>
    <w:p>
      <w:pPr>
        <w:numPr>
          <w:ilvl w:val="0"/>
          <w:numId w:val="1005"/>
        </w:numPr>
        <w:pStyle w:val="Compact"/>
      </w:pPr>
      <w:r>
        <w:rPr>
          <w:bCs/>
          <w:b/>
        </w:rPr>
        <w:t xml:space="preserve">Product Weight:</w:t>
      </w:r>
      <w:r>
        <w:t xml:space="preserve"> </w:t>
      </w:r>
      <w:r>
        <w:t xml:space="preserve">1.5 kg.</w:t>
      </w:r>
    </w:p>
    <w:p>
      <w:pPr>
        <w:numPr>
          <w:ilvl w:val="0"/>
          <w:numId w:val="1005"/>
        </w:numPr>
        <w:pStyle w:val="Compact"/>
      </w:pPr>
      <w:r>
        <w:rPr>
          <w:bCs/>
          <w:b/>
        </w:rPr>
        <w:t xml:space="preserve">Light Commercial Vehicle Emission Factor:</w:t>
      </w:r>
      <w:r>
        <w:t xml:space="preserve"> </w:t>
      </w:r>
      <w:r>
        <w:t xml:space="preserve">0.5 kgCO2e/unit (illustrative, considering vehicle emissions allocated per unit delivered).</w:t>
      </w:r>
    </w:p>
    <w:bookmarkEnd w:id="31"/>
    <w:bookmarkEnd w:id="32"/>
    <w:bookmarkStart w:id="33" w:name="use-phase"/>
    <w:p>
      <w:pPr>
        <w:pStyle w:val="Heading2"/>
      </w:pPr>
      <w:r>
        <w:t xml:space="preserve">3.4. Use Phase</w:t>
      </w:r>
    </w:p>
    <w:p>
      <w:pPr>
        <w:pStyle w:val="FirstParagraph"/>
      </w:pPr>
      <w:r>
        <w:t xml:space="preserve">The use phase calculation integrates specific durability and consumption data.</w:t>
      </w:r>
    </w:p>
    <w:p>
      <w:pPr>
        <w:numPr>
          <w:ilvl w:val="0"/>
          <w:numId w:val="1006"/>
        </w:numPr>
        <w:pStyle w:val="Compact"/>
      </w:pPr>
      <w:r>
        <w:rPr>
          <w:bCs/>
          <w:b/>
        </w:rPr>
        <w:t xml:space="preserve">Product Lifespan:</w:t>
      </w:r>
      <w:r>
        <w:t xml:space="preserve"> </w:t>
      </w:r>
      <w:r>
        <w:t xml:space="preserve">tqjfnwvmiy</w:t>
      </w:r>
      <w:r>
        <w:t xml:space="preserve"> </w:t>
      </w:r>
      <w:r>
        <w:t xml:space="preserve">= 5 years.</w:t>
      </w:r>
    </w:p>
    <w:p>
      <w:pPr>
        <w:numPr>
          <w:ilvl w:val="0"/>
          <w:numId w:val="1006"/>
        </w:numPr>
        <w:pStyle w:val="Compact"/>
      </w:pPr>
      <w:r>
        <w:rPr>
          <w:bCs/>
          <w:b/>
        </w:rPr>
        <w:t xml:space="preserve">Energy Consumption in Use:</w:t>
      </w:r>
      <w:r>
        <w:t xml:space="preserve"> </w:t>
      </w:r>
      <w:r>
        <w:t xml:space="preserve">gjrldsjxfp</w:t>
      </w:r>
      <w:r>
        <w:t xml:space="preserve"> </w:t>
      </w:r>
      <w:r>
        <w:t xml:space="preserve">= 2 kWh/year.</w:t>
      </w:r>
    </w:p>
    <w:p>
      <w:pPr>
        <w:numPr>
          <w:ilvl w:val="0"/>
          <w:numId w:val="1006"/>
        </w:numPr>
        <w:pStyle w:val="Compact"/>
      </w:pPr>
      <w:r>
        <w:rPr>
          <w:bCs/>
          <w:b/>
        </w:rPr>
        <w:t xml:space="preserve">European Electricity Grid Emission Factor:</w:t>
      </w:r>
      <w:r>
        <w:t xml:space="preserve"> </w:t>
      </w:r>
      <w:r>
        <w:t xml:space="preserve">0.181 kgCO2e/kWh (average for 2024 in Europe, where the product is assumed to be used).</w:t>
      </w:r>
    </w:p>
    <w:bookmarkEnd w:id="33"/>
    <w:bookmarkStart w:id="34" w:name="end-of-life-eol-scenarios"/>
    <w:p>
      <w:pPr>
        <w:pStyle w:val="Heading2"/>
      </w:pPr>
      <w:r>
        <w:t xml:space="preserve">3.5. End-of-Life (EoL) Scenarios</w:t>
      </w:r>
    </w:p>
    <w:p>
      <w:pPr>
        <w:pStyle w:val="FirstParagraph"/>
      </w:pPr>
      <w:r>
        <w:t xml:space="preserve">End-of-Life scenarios incorporate recyclability and circular economy impacts.</w:t>
      </w:r>
    </w:p>
    <w:p>
      <w:pPr>
        <w:numPr>
          <w:ilvl w:val="0"/>
          <w:numId w:val="1007"/>
        </w:numPr>
        <w:pStyle w:val="Compact"/>
      </w:pPr>
      <w:r>
        <w:rPr>
          <w:bCs/>
          <w:b/>
        </w:rPr>
        <w:t xml:space="preserve">Recyclability Percentage:</w:t>
      </w:r>
      <w:r>
        <w:t xml:space="preserve"> </w:t>
      </w:r>
      <w:r>
        <w:t xml:space="preserve">khpxhrqpqs</w:t>
      </w:r>
      <w:r>
        <w:t xml:space="preserve"> </w:t>
      </w:r>
      <w:r>
        <w:t xml:space="preserve">= 70%.</w:t>
      </w:r>
    </w:p>
    <w:p>
      <w:pPr>
        <w:numPr>
          <w:ilvl w:val="0"/>
          <w:numId w:val="1007"/>
        </w:numPr>
        <w:pStyle w:val="Compact"/>
      </w:pPr>
      <w:r>
        <w:rPr>
          <w:bCs/>
          <w:b/>
        </w:rPr>
        <w:t xml:space="preserve">Circular/Take-back Programs:</w:t>
      </w:r>
      <w:r>
        <w:t xml:space="preserve"> </w:t>
      </w:r>
      <w:r>
        <w:t xml:space="preserve">pezwhxzony</w:t>
      </w:r>
      <w:r>
        <w:t xml:space="preserve"> </w:t>
      </w:r>
      <w:r>
        <w:t xml:space="preserve">= "dwgllpxgkj operates a comprehensive product take-back program. 20% of returned products are refurbished for reuse, and the remaining 80% are meticulously sorted for recycling or responsible disposal, significantly improving material recovery rates and reducing landfill waste."</w:t>
      </w:r>
    </w:p>
    <w:p>
      <w:pPr>
        <w:numPr>
          <w:ilvl w:val="0"/>
          <w:numId w:val="1007"/>
        </w:numPr>
        <w:pStyle w:val="Compact"/>
      </w:pPr>
      <w:r>
        <w:rPr>
          <w:bCs/>
          <w:b/>
        </w:rPr>
        <w:t xml:space="preserve">Product Weight:</w:t>
      </w:r>
      <w:r>
        <w:t xml:space="preserve"> </w:t>
      </w:r>
      <w:r>
        <w:t xml:space="preserve">1.5 kg.</w:t>
      </w:r>
    </w:p>
    <w:p>
      <w:pPr>
        <w:numPr>
          <w:ilvl w:val="0"/>
          <w:numId w:val="1007"/>
        </w:numPr>
        <w:pStyle w:val="Compact"/>
      </w:pPr>
      <w:r>
        <w:rPr>
          <w:bCs/>
          <w:b/>
        </w:rPr>
        <w:t xml:space="preserve">Landfill Emission Factor:</w:t>
      </w:r>
      <w:r>
        <w:t xml:space="preserve"> </w:t>
      </w:r>
      <w:r>
        <w:t xml:space="preserve">0.2 kgCO2e/kg (illustrative for mixed waste, accounting for methane emissions).</w:t>
      </w:r>
    </w:p>
    <w:p>
      <w:pPr>
        <w:numPr>
          <w:ilvl w:val="0"/>
          <w:numId w:val="1007"/>
        </w:numPr>
        <w:pStyle w:val="Compact"/>
      </w:pPr>
      <w:r>
        <w:rPr>
          <w:bCs/>
          <w:b/>
        </w:rPr>
        <w:t xml:space="preserve">Recycling Avoidance Factor:</w:t>
      </w:r>
      <w:r>
        <w:t xml:space="preserve"> </w:t>
      </w:r>
      <w:r>
        <w:t xml:space="preserve">-1.5 kgCO2e/kg (illustrative credit for displaced virgin material due to recycling).</w:t>
      </w:r>
    </w:p>
    <w:p>
      <w:r>
        <w:pict>
          <v:rect style="width:0;height:1.5pt" o:hralign="center" o:hrstd="t" o:hr="t"/>
        </w:pict>
      </w:r>
    </w:p>
    <w:bookmarkEnd w:id="34"/>
    <w:bookmarkEnd w:id="35"/>
    <w:bookmarkStart w:id="40" w:name="Xdd0f433185fde5fd9508eee9e1e7bcaa542b608"/>
    <w:p>
      <w:pPr>
        <w:pStyle w:val="Heading1"/>
      </w:pPr>
      <w:r>
        <w:t xml:space="preserve">4. Emission Calculation and GHG Protocol Categorization</w:t>
      </w:r>
    </w:p>
    <w:p>
      <w:pPr>
        <w:pStyle w:val="FirstParagraph"/>
      </w:pPr>
      <w:r>
        <w:t xml:space="preserve">Emissions were calculated for each lifecycle stage using the formula: Activity Data × Emission Factor = CO2e. These emissions are then categorized according to the GHG Protocol\'s Scope 1, Scope 2, and Scope 3 definitions.</w:t>
      </w:r>
    </w:p>
    <w:bookmarkStart w:id="36" w:name="lifecycle-stage-emissions-breakdown"/>
    <w:p>
      <w:pPr>
        <w:pStyle w:val="Heading2"/>
      </w:pPr>
      <w:r>
        <w:t xml:space="preserve">4.1. Lifecycle Stage Emissions Breakdown</w:t>
      </w:r>
    </w:p>
    <w:p>
      <w:pPr>
        <w:pStyle w:val="FirstParagraph"/>
      </w:pPr>
      <w:r>
        <w:rPr>
          <w:iCs/>
          <w:i/>
        </w:rPr>
        <w:t xml:space="preserve">Detailed emissions per functional unit (1.0 unit of lihoogdgyv):</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Emissions (kgCO2e)</w:t>
            </w:r>
          </w:p>
        </w:tc>
        <w:tc>
          <w:tcPr/>
          <w:p>
            <w:pPr>
              <w:pStyle w:val="Compact"/>
              <w:jc w:val="left"/>
            </w:pPr>
            <w:r>
              <w:t xml:space="preserve">GHG Scope(s)</w:t>
            </w:r>
          </w:p>
        </w:tc>
      </w:tr>
      <w:tr>
        <w:tc>
          <w:tcPr/>
          <w:p>
            <w:pPr>
              <w:pStyle w:val="Compact"/>
              <w:jc w:val="left"/>
            </w:pPr>
            <w:r>
              <w:t xml:space="preserve">Raw Materials (Acquisition &amp; Pre-processing)</w:t>
            </w:r>
          </w:p>
        </w:tc>
        <w:tc>
          <w:tcPr/>
          <w:p>
            <w:pPr>
              <w:pStyle w:val="Compact"/>
              <w:jc w:val="left"/>
            </w:pPr>
            <w:r>
              <w:t xml:space="preserve">Total of BOM materials</w:t>
            </w:r>
          </w:p>
        </w:tc>
        <w:tc>
          <w:tcPr/>
          <w:p>
            <w:pPr>
              <w:pStyle w:val="Compact"/>
              <w:jc w:val="left"/>
            </w:pPr>
            <w:r>
              <w:t xml:space="preserve">(See BOM table above)</w:t>
            </w:r>
          </w:p>
        </w:tc>
        <w:tc>
          <w:tcPr/>
          <w:p>
            <w:pPr>
              <w:pStyle w:val="Compact"/>
              <w:jc w:val="left"/>
            </w:pPr>
            <w:r>
              <w:t xml:space="preserve">7.35</w:t>
            </w:r>
          </w:p>
        </w:tc>
        <w:tc>
          <w:tcPr/>
          <w:p>
            <w:pPr>
              <w:pStyle w:val="Compact"/>
              <w:jc w:val="left"/>
            </w:pPr>
            <w:r>
              <w:t xml:space="preserve">Scope 3 (Category 1)</w:t>
            </w:r>
          </w:p>
        </w:tc>
      </w:tr>
      <w:tr>
        <w:tc>
          <w:tcPr/>
          <w:p>
            <w:pPr>
              <w:pStyle w:val="Compact"/>
              <w:jc w:val="left"/>
            </w:pPr>
            <w:r>
              <w:t xml:space="preserve">Manufacturing - Purchased Electricity (China)</w:t>
            </w:r>
          </w:p>
        </w:tc>
        <w:tc>
          <w:tcPr/>
          <w:p>
            <w:pPr>
              <w:pStyle w:val="Compact"/>
              <w:jc w:val="left"/>
            </w:pPr>
            <w:r>
              <w:t xml:space="preserve">5 kWh (non-renewable share)</w:t>
            </w:r>
          </w:p>
        </w:tc>
        <w:tc>
          <w:tcPr/>
          <w:p>
            <w:pPr>
              <w:pStyle w:val="Compact"/>
              <w:jc w:val="left"/>
            </w:pPr>
            <w:r>
              <w:t xml:space="preserve">0.556 kgCO2e/kWh</w:t>
            </w:r>
          </w:p>
        </w:tc>
        <w:tc>
          <w:tcPr/>
          <w:p>
            <w:pPr>
              <w:pStyle w:val="Compact"/>
              <w:jc w:val="left"/>
            </w:pPr>
            <w:r>
              <w:t xml:space="preserve">2.78</w:t>
            </w:r>
          </w:p>
        </w:tc>
        <w:tc>
          <w:tcPr/>
          <w:p>
            <w:pPr>
              <w:pStyle w:val="Compact"/>
              <w:jc w:val="left"/>
            </w:pPr>
            <w:r>
              <w:t xml:space="preserve">Scope 2</w:t>
            </w:r>
          </w:p>
        </w:tc>
      </w:tr>
      <w:tr>
        <w:tc>
          <w:tcPr/>
          <w:p>
            <w:pPr>
              <w:pStyle w:val="Compact"/>
              <w:jc w:val="left"/>
            </w:pPr>
            <w:r>
              <w:t xml:space="preserve">Manufacturing - Direct Emissions</w:t>
            </w:r>
          </w:p>
        </w:tc>
        <w:tc>
          <w:tcPr/>
          <w:p>
            <w:pPr>
              <w:pStyle w:val="Compact"/>
              <w:jc w:val="left"/>
            </w:pPr>
            <w:r>
              <w:t xml:space="preserve">On-site processes</w:t>
            </w:r>
          </w:p>
        </w:tc>
        <w:tc>
          <w:tcPr/>
          <w:p>
            <w:pPr>
              <w:pStyle w:val="Compact"/>
              <w:jc w:val="left"/>
            </w:pPr>
            <w:r>
              <w:t xml:space="preserve">N/A (illustrative estimate)</w:t>
            </w:r>
          </w:p>
        </w:tc>
        <w:tc>
          <w:tcPr/>
          <w:p>
            <w:pPr>
              <w:pStyle w:val="Compact"/>
              <w:jc w:val="left"/>
            </w:pPr>
            <w:r>
              <w:t xml:space="preserve">0.10</w:t>
            </w:r>
          </w:p>
        </w:tc>
        <w:tc>
          <w:tcPr/>
          <w:p>
            <w:pPr>
              <w:pStyle w:val="Compact"/>
              <w:jc w:val="left"/>
            </w:pPr>
            <w:r>
              <w:t xml:space="preserve">Scope 1</w:t>
            </w:r>
          </w:p>
        </w:tc>
      </w:tr>
      <w:tr>
        <w:tc>
          <w:tcPr/>
          <w:p>
            <w:pPr>
              <w:pStyle w:val="Compact"/>
              <w:jc w:val="left"/>
            </w:pPr>
            <w:r>
              <w:t xml:space="preserve">Transport - Upstream (Materials)</w:t>
            </w:r>
          </w:p>
        </w:tc>
        <w:tc>
          <w:tcPr/>
          <w:p>
            <w:pPr>
              <w:pStyle w:val="Compact"/>
              <w:jc w:val="left"/>
            </w:pPr>
            <w:r>
              <w:t xml:space="preserve">1.6 kg * 1000 km</w:t>
            </w:r>
          </w:p>
        </w:tc>
        <w:tc>
          <w:tcPr/>
          <w:p>
            <w:pPr>
              <w:pStyle w:val="Compact"/>
              <w:jc w:val="left"/>
            </w:pPr>
            <w:r>
              <w:t xml:space="preserve">0.1 kgCO2e/tonne-km</w:t>
            </w:r>
          </w:p>
        </w:tc>
        <w:tc>
          <w:tcPr/>
          <w:p>
            <w:pPr>
              <w:pStyle w:val="Compact"/>
              <w:jc w:val="left"/>
            </w:pPr>
            <w:r>
              <w:t xml:space="preserve">0.16</w:t>
            </w:r>
          </w:p>
        </w:tc>
        <w:tc>
          <w:tcPr/>
          <w:p>
            <w:pPr>
              <w:pStyle w:val="Compact"/>
              <w:jc w:val="left"/>
            </w:pPr>
            <w:r>
              <w:t xml:space="preserve">Scope 3 (Category 4)</w:t>
            </w:r>
          </w:p>
        </w:tc>
      </w:tr>
      <w:tr>
        <w:tc>
          <w:tcPr/>
          <w:p>
            <w:pPr>
              <w:pStyle w:val="Compact"/>
              <w:jc w:val="left"/>
            </w:pPr>
            <w:r>
              <w:t xml:space="preserve">Transport - Downstream (Last-Mile)</w:t>
            </w:r>
          </w:p>
        </w:tc>
        <w:tc>
          <w:tcPr/>
          <w:p>
            <w:pPr>
              <w:pStyle w:val="Compact"/>
              <w:jc w:val="left"/>
            </w:pPr>
            <w:r>
              <w:t xml:space="preserve">1 unit * 100 km</w:t>
            </w:r>
          </w:p>
        </w:tc>
        <w:tc>
          <w:tcPr/>
          <w:p>
            <w:pPr>
              <w:pStyle w:val="Compact"/>
              <w:jc w:val="left"/>
            </w:pPr>
            <w:r>
              <w:t xml:space="preserve">0.5 kgCO2e/unit</w:t>
            </w:r>
          </w:p>
        </w:tc>
        <w:tc>
          <w:tcPr/>
          <w:p>
            <w:pPr>
              <w:pStyle w:val="Compact"/>
              <w:jc w:val="left"/>
            </w:pPr>
            <w:r>
              <w:t xml:space="preserve">0.50</w:t>
            </w:r>
          </w:p>
        </w:tc>
        <w:tc>
          <w:tcPr/>
          <w:p>
            <w:pPr>
              <w:pStyle w:val="Compact"/>
              <w:jc w:val="left"/>
            </w:pPr>
            <w:r>
              <w:t xml:space="preserve">Scope 3 (Category 9)</w:t>
            </w:r>
          </w:p>
        </w:tc>
      </w:tr>
      <w:tr>
        <w:tc>
          <w:tcPr/>
          <w:p>
            <w:pPr>
              <w:pStyle w:val="Compact"/>
              <w:jc w:val="left"/>
            </w:pPr>
            <w:r>
              <w:t xml:space="preserve">Use Phase - Energy Consumption (Europe)</w:t>
            </w:r>
          </w:p>
        </w:tc>
        <w:tc>
          <w:tcPr/>
          <w:p>
            <w:pPr>
              <w:pStyle w:val="Compact"/>
              <w:jc w:val="left"/>
            </w:pPr>
            <w:r>
              <w:t xml:space="preserve">5 years * 2 kWh/year</w:t>
            </w:r>
          </w:p>
        </w:tc>
        <w:tc>
          <w:tcPr/>
          <w:p>
            <w:pPr>
              <w:pStyle w:val="Compact"/>
              <w:jc w:val="left"/>
            </w:pPr>
            <w:r>
              <w:t xml:space="preserve">0.181 kgCO2e/kWh</w:t>
            </w:r>
          </w:p>
        </w:tc>
        <w:tc>
          <w:tcPr/>
          <w:p>
            <w:pPr>
              <w:pStyle w:val="Compact"/>
              <w:jc w:val="left"/>
            </w:pPr>
            <w:r>
              <w:t xml:space="preserve">1.81</w:t>
            </w:r>
          </w:p>
        </w:tc>
        <w:tc>
          <w:tcPr/>
          <w:p>
            <w:pPr>
              <w:pStyle w:val="Compact"/>
              <w:jc w:val="left"/>
            </w:pPr>
            <w:r>
              <w:t xml:space="preserve">Scope 3 (Category 11)</w:t>
            </w:r>
          </w:p>
        </w:tc>
      </w:tr>
      <w:tr>
        <w:tc>
          <w:tcPr/>
          <w:p>
            <w:pPr>
              <w:pStyle w:val="Compact"/>
              <w:jc w:val="left"/>
            </w:pPr>
            <w:r>
              <w:t xml:space="preserve">End-of-Life - Disposal (30%)</w:t>
            </w:r>
          </w:p>
        </w:tc>
        <w:tc>
          <w:tcPr/>
          <w:p>
            <w:pPr>
              <w:pStyle w:val="Compact"/>
              <w:jc w:val="left"/>
            </w:pPr>
            <w:r>
              <w:t xml:space="preserve">0.45 kg</w:t>
            </w:r>
          </w:p>
        </w:tc>
        <w:tc>
          <w:tcPr/>
          <w:p>
            <w:pPr>
              <w:pStyle w:val="Compact"/>
              <w:jc w:val="left"/>
            </w:pPr>
            <w:r>
              <w:t xml:space="preserve">0.2 kgCO2e/kg</w:t>
            </w:r>
          </w:p>
        </w:tc>
        <w:tc>
          <w:tcPr/>
          <w:p>
            <w:pPr>
              <w:pStyle w:val="Compact"/>
              <w:jc w:val="left"/>
            </w:pPr>
            <w:r>
              <w:t xml:space="preserve">0.09</w:t>
            </w:r>
          </w:p>
        </w:tc>
        <w:tc>
          <w:tcPr/>
          <w:p>
            <w:pPr>
              <w:pStyle w:val="Compact"/>
              <w:jc w:val="left"/>
            </w:pPr>
            <w:r>
              <w:t xml:space="preserve">Scope 3 (Category 12)</w:t>
            </w:r>
          </w:p>
        </w:tc>
      </w:tr>
      <w:tr>
        <w:tc>
          <w:tcPr/>
          <w:p>
            <w:pPr>
              <w:pStyle w:val="Compact"/>
              <w:jc w:val="left"/>
            </w:pPr>
            <w:r>
              <w:t xml:space="preserve">End-of-Life - Recycling Credit (70%)</w:t>
            </w:r>
          </w:p>
        </w:tc>
        <w:tc>
          <w:tcPr/>
          <w:p>
            <w:pPr>
              <w:pStyle w:val="Compact"/>
              <w:jc w:val="left"/>
            </w:pPr>
            <w:r>
              <w:t xml:space="preserve">1.05 kg</w:t>
            </w:r>
          </w:p>
        </w:tc>
        <w:tc>
          <w:tcPr/>
          <w:p>
            <w:pPr>
              <w:pStyle w:val="Compact"/>
              <w:jc w:val="left"/>
            </w:pPr>
            <w:r>
              <w:t xml:space="preserve">-1.5 kgCO2e/kg</w:t>
            </w:r>
          </w:p>
        </w:tc>
        <w:tc>
          <w:tcPr/>
          <w:p>
            <w:pPr>
              <w:pStyle w:val="Compact"/>
              <w:jc w:val="left"/>
            </w:pPr>
            <w:r>
              <w:t xml:space="preserve">-1.58</w:t>
            </w:r>
          </w:p>
        </w:tc>
        <w:tc>
          <w:tcPr/>
          <w:p>
            <w:pPr>
              <w:pStyle w:val="Compact"/>
              <w:jc w:val="left"/>
            </w:pPr>
            <w:r>
              <w:t xml:space="preserve">Scope 3 (Category 12)</w:t>
            </w:r>
          </w:p>
        </w:tc>
      </w:tr>
      <w:tr>
        <w:tc>
          <w:tcPr>
            <w:gridSpan w:val="3"/>
          </w:tcPr>
          <w:p>
            <w:pPr>
              <w:pStyle w:val="Compact"/>
              <w:jc w:val="right"/>
            </w:pPr>
            <w:r>
              <w:t xml:space="preserve">Total Product Carbon Footprint</w:t>
            </w:r>
          </w:p>
        </w:tc>
        <w:tc>
          <w:tcPr/>
          <w:p>
            <w:pPr>
              <w:pStyle w:val="Compact"/>
              <w:jc w:val="left"/>
            </w:pPr>
            <w:r>
              <w:rPr>
                <w:bCs/>
                <w:b/>
              </w:rPr>
              <w:t xml:space="preserve">11.21 kgCO2e</w:t>
            </w:r>
          </w:p>
        </w:tc>
        <w:tc>
          <w:tcPr/>
          <w:p>
            <w:pPr>
              <w:pStyle w:val="Compact"/>
            </w:pPr>
          </w:p>
        </w:tc>
      </w:tr>
    </w:tbl>
    <w:p>
      <w:pPr>
        <w:pStyle w:val="BodyText"/>
      </w:pPr>
      <w:r>
        <w:rPr>
          <w:iCs/>
          <w:i/>
        </w:rPr>
        <w:t xml:space="preserve">Note: All emission factors are illustrative, referencing industry standards where applicable due to placeholder input data.</w:t>
      </w:r>
    </w:p>
    <w:bookmarkEnd w:id="36"/>
    <w:bookmarkStart w:id="37" w:name="ghg-protocol-scope-categorization"/>
    <w:p>
      <w:pPr>
        <w:pStyle w:val="Heading2"/>
      </w:pPr>
      <w:r>
        <w:t xml:space="preserve">4.2. GHG Protocol Scope Categorization</w:t>
      </w:r>
    </w:p>
    <w:p>
      <w:pPr>
        <w:pStyle w:val="FirstParagraph"/>
      </w:pPr>
      <w:r>
        <w:t xml:space="preserve">The Greenhouse Gas Protocol categorizes emissions into three scopes:</w:t>
      </w:r>
    </w:p>
    <w:p>
      <w:pPr>
        <w:numPr>
          <w:ilvl w:val="0"/>
          <w:numId w:val="1008"/>
        </w:numPr>
        <w:pStyle w:val="Compact"/>
      </w:pPr>
      <w:r>
        <w:rPr>
          <w:bCs/>
          <w:b/>
        </w:rPr>
        <w:t xml:space="preserve">Scope 1: Direct GHG Emissions</w:t>
      </w:r>
      <w:r>
        <w:t xml:space="preserve"> </w:t>
      </w:r>
      <w:r>
        <w:t xml:space="preserve">from sources owned or controlled by the reporting entity.</w:t>
      </w:r>
    </w:p>
    <w:p>
      <w:pPr>
        <w:numPr>
          <w:ilvl w:val="0"/>
          <w:numId w:val="1008"/>
        </w:numPr>
        <w:pStyle w:val="Compact"/>
      </w:pPr>
      <w:r>
        <w:rPr>
          <w:bCs/>
          <w:b/>
        </w:rPr>
        <w:t xml:space="preserve">Scope 2: Indirect GHG Emissions from Purchased Energy</w:t>
      </w:r>
      <w:r>
        <w:t xml:space="preserve"> </w:t>
      </w:r>
      <w:r>
        <w:t xml:space="preserve">(e.g., electricity, heat, steam).</w:t>
      </w:r>
    </w:p>
    <w:p>
      <w:pPr>
        <w:numPr>
          <w:ilvl w:val="0"/>
          <w:numId w:val="1008"/>
        </w:numPr>
        <w:pStyle w:val="Compact"/>
      </w:pPr>
      <w:r>
        <w:rPr>
          <w:bCs/>
          <w:b/>
        </w:rPr>
        <w:t xml:space="preserve">Scope 3: Other Indirect GHG Emissions</w:t>
      </w:r>
      <w:r>
        <w:t xml:space="preserve"> </w:t>
      </w:r>
      <w:r>
        <w:t xml:space="preserve">occurring in the value chain of the reporting company, both upstream and downstream.</w:t>
      </w:r>
    </w:p>
    <w:p>
      <w:pPr>
        <w:pStyle w:val="FirstParagraph"/>
      </w:pPr>
      <w:r>
        <w:rPr>
          <w:iCs/>
          <w:i/>
        </w:rPr>
        <w:t xml:space="preserve">Summary of Emissions by GHG Protocol Scope:</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Emission Sources (Examples for lihoogdgyv)</w:t>
            </w:r>
          </w:p>
        </w:tc>
        <w:tc>
          <w:tcPr/>
          <w:p>
            <w:pPr>
              <w:pStyle w:val="Compact"/>
              <w:jc w:val="left"/>
            </w:pPr>
            <w:r>
              <w:t xml:space="preserve">Total Emissions (kgCO2e)</w:t>
            </w:r>
          </w:p>
        </w:tc>
        <w:tc>
          <w:tcPr/>
          <w:p>
            <w:pPr>
              <w:pStyle w:val="Compact"/>
              <w:jc w:val="left"/>
            </w:pPr>
            <w:r>
              <w:t xml:space="preserve">Percentage of Total PCF</w:t>
            </w:r>
          </w:p>
        </w:tc>
      </w:tr>
      <w:tr>
        <w:tc>
          <w:tcPr/>
          <w:p>
            <w:pPr>
              <w:pStyle w:val="Compact"/>
              <w:jc w:val="left"/>
            </w:pPr>
            <w:r>
              <w:rPr>
                <w:bCs/>
                <w:b/>
              </w:rPr>
              <w:t xml:space="preserve">Scope 1</w:t>
            </w:r>
          </w:p>
        </w:tc>
        <w:tc>
          <w:tcPr/>
          <w:p>
            <w:pPr>
              <w:pStyle w:val="Compact"/>
              <w:jc w:val="left"/>
            </w:pPr>
            <w:r>
              <w:t xml:space="preserve">Direct emissions from manufacturing facilities (e.g., minor on-site combustion, fugitive emissions).</w:t>
            </w:r>
          </w:p>
        </w:tc>
        <w:tc>
          <w:tcPr/>
          <w:p>
            <w:pPr>
              <w:pStyle w:val="Compact"/>
              <w:jc w:val="left"/>
            </w:pPr>
            <w:r>
              <w:t xml:space="preserve">0.10</w:t>
            </w:r>
          </w:p>
        </w:tc>
        <w:tc>
          <w:tcPr/>
          <w:p>
            <w:pPr>
              <w:pStyle w:val="Compact"/>
              <w:jc w:val="left"/>
            </w:pPr>
            <w:r>
              <w:t xml:space="preserve">0.89%</w:t>
            </w:r>
          </w:p>
        </w:tc>
      </w:tr>
      <w:tr>
        <w:tc>
          <w:tcPr/>
          <w:p>
            <w:pPr>
              <w:pStyle w:val="Compact"/>
              <w:jc w:val="left"/>
            </w:pPr>
            <w:r>
              <w:rPr>
                <w:bCs/>
                <w:b/>
              </w:rPr>
              <w:t xml:space="preserve">Scope 2</w:t>
            </w:r>
          </w:p>
        </w:tc>
        <w:tc>
          <w:tcPr/>
          <w:p>
            <w:pPr>
              <w:pStyle w:val="Compact"/>
              <w:jc w:val="left"/>
            </w:pPr>
            <w:r>
              <w:t xml:space="preserve">Indirect emissions from purchased electricity for manufacturing in China.</w:t>
            </w:r>
          </w:p>
        </w:tc>
        <w:tc>
          <w:tcPr/>
          <w:p>
            <w:pPr>
              <w:pStyle w:val="Compact"/>
              <w:jc w:val="left"/>
            </w:pPr>
            <w:r>
              <w:t xml:space="preserve">2.78</w:t>
            </w:r>
          </w:p>
        </w:tc>
        <w:tc>
          <w:tcPr/>
          <w:p>
            <w:pPr>
              <w:pStyle w:val="Compact"/>
              <w:jc w:val="left"/>
            </w:pPr>
            <w:r>
              <w:t xml:space="preserve">24.80%</w:t>
            </w:r>
          </w:p>
        </w:tc>
      </w:tr>
      <w:tr>
        <w:tc>
          <w:tcPr/>
          <w:p>
            <w:pPr>
              <w:pStyle w:val="Compact"/>
              <w:jc w:val="left"/>
            </w:pPr>
            <w:r>
              <w:rPr>
                <w:bCs/>
                <w:b/>
              </w:rPr>
              <w:t xml:space="preserve">Scope 3</w:t>
            </w:r>
          </w:p>
        </w:tc>
        <w:tc>
          <w:tcPr/>
          <w:p>
            <w:pPr>
              <w:numPr>
                <w:ilvl w:val="0"/>
                <w:numId w:val="1009"/>
              </w:numPr>
              <w:pStyle w:val="Compact"/>
              <w:jc w:val="left"/>
            </w:pPr>
            <w:r>
              <w:t xml:space="preserve">Category 1: Purchased goods and services (raw materials, packaging).</w:t>
            </w:r>
          </w:p>
          <w:p>
            <w:pPr>
              <w:numPr>
                <w:ilvl w:val="0"/>
                <w:numId w:val="1009"/>
              </w:numPr>
              <w:pStyle w:val="Compact"/>
              <w:jc w:val="left"/>
            </w:pPr>
            <w:r>
              <w:t xml:space="preserve">Category 4: Upstream transportation and distribution (materials to factory).</w:t>
            </w:r>
          </w:p>
          <w:p>
            <w:pPr>
              <w:numPr>
                <w:ilvl w:val="0"/>
                <w:numId w:val="1009"/>
              </w:numPr>
              <w:pStyle w:val="Compact"/>
              <w:jc w:val="left"/>
            </w:pPr>
            <w:r>
              <w:t xml:space="preserve">Category 9: Downstream transportation and distribution (last-mile delivery).</w:t>
            </w:r>
          </w:p>
          <w:p>
            <w:pPr>
              <w:numPr>
                <w:ilvl w:val="0"/>
                <w:numId w:val="1009"/>
              </w:numPr>
              <w:pStyle w:val="Compact"/>
              <w:jc w:val="left"/>
            </w:pPr>
            <w:r>
              <w:t xml:space="preserve">Category 11: Use of sold products (product energy consumption during use).</w:t>
            </w:r>
          </w:p>
          <w:p>
            <w:pPr>
              <w:numPr>
                <w:ilvl w:val="0"/>
                <w:numId w:val="1009"/>
              </w:numPr>
              <w:pStyle w:val="Compact"/>
              <w:jc w:val="left"/>
            </w:pPr>
            <w:r>
              <w:t xml:space="preserve">Category 12: End-of-life treatment of sold products (disposal, recycling credits).</w:t>
            </w:r>
          </w:p>
        </w:tc>
        <w:tc>
          <w:tcPr/>
          <w:p>
            <w:pPr>
              <w:pStyle w:val="Compact"/>
              <w:jc w:val="left"/>
            </w:pPr>
            <w:r>
              <w:t xml:space="preserve">8.33</w:t>
            </w:r>
          </w:p>
        </w:tc>
        <w:tc>
          <w:tcPr/>
          <w:p>
            <w:pPr>
              <w:pStyle w:val="Compact"/>
              <w:jc w:val="left"/>
            </w:pPr>
            <w:r>
              <w:t xml:space="preserve">74.31%</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11.21</w:t>
            </w:r>
          </w:p>
        </w:tc>
        <w:tc>
          <w:tcPr/>
          <w:p>
            <w:pPr>
              <w:pStyle w:val="Compact"/>
              <w:jc w:val="left"/>
            </w:pPr>
            <w:r>
              <w:rPr>
                <w:bCs/>
                <w:b/>
              </w:rPr>
              <w:t xml:space="preserve">100%</w:t>
            </w:r>
          </w:p>
        </w:tc>
      </w:tr>
    </w:tbl>
    <w:bookmarkEnd w:id="37"/>
    <w:bookmarkStart w:id="38" w:name="X7ef73fe3d39a8d84fae696b42f814aa0d860ec0"/>
    <w:p>
      <w:pPr>
        <w:pStyle w:val="Heading2"/>
      </w:pPr>
      <w:r>
        <w:t xml:space="preserve">4.3. 2026 LSR Update (Land Sector and Removals Standard)</w:t>
      </w:r>
    </w:p>
    <w:p>
      <w:pPr>
        <w:pStyle w:val="FirstParagraph"/>
      </w:pPr>
      <w:r>
        <w:t xml:space="preserve">The GHG Protocol\'s Land Sector and Removals (LSR) Standard, released on January 30, 2026, provides requirements and guidance for accounting and reporting GHG emissions and carbon dioxide removals from land use, land-use change, biogenic products, and technological removals. This standard will be effective from January 1, 2027, with accompanying guidance expected in Q2 2026.</w:t>
      </w:r>
    </w:p>
    <w:p>
      <w:pPr>
        <w:pStyle w:val="BodyText"/>
      </w:pPr>
      <w:r>
        <w:t xml:space="preserve">For this PCF analysis of lihoogdgyv, the principles of the 2026 LSR Standard have been considered within the Scope 3, Category 1 (Purchased Goods and Services) where relevant for material sourcing. While explicit land-use change data for the specific raw materials used in lihoogdgyv were not provided, dwgllpxgkj commits to integrating more granular data on land-based emissions and removals from its supply chain as the LSR guidance becomes fully operational and specific data becomes available from suppliers. This approach ensures readiness for future reporting requirements under this new standard.</w:t>
      </w:r>
    </w:p>
    <w:bookmarkEnd w:id="38"/>
    <w:bookmarkStart w:id="39" w:name="scope-3-compliance-95-coverage"/>
    <w:p>
      <w:pPr>
        <w:pStyle w:val="Heading2"/>
      </w:pPr>
      <w:r>
        <w:t xml:space="preserve">4.4. Scope 3 Compliance (95% Coverage)</w:t>
      </w:r>
    </w:p>
    <w:p>
      <w:pPr>
        <w:pStyle w:val="FirstParagraph"/>
      </w:pPr>
      <w:r>
        <w:t xml:space="preserve">As per the proposed 2026 GHG Protocol revisions to the Scope 3 Standard, companies will need to account for and report at least 95% of total required Scope 3 emissions. This analysis aims for comprehensive coverage, encompassing all significant upstream and downstream activities in the value chain of lihoogdgyv. By including raw materials, all relevant transport stages, the use phase, and end-of-life, the report endeavors to exceed the 95% coverage threshold for Scope 3 emissions, ensuring a robust and compliant inventory. The detailed breakdown by category demonstrates a thorough attempt to capture all material Scope 3 impacts.</w:t>
      </w:r>
    </w:p>
    <w:p>
      <w:r>
        <w:pict>
          <v:rect style="width:0;height:1.5pt" o:hralign="center" o:hrstd="t" o:hr="t"/>
        </w:pict>
      </w:r>
    </w:p>
    <w:bookmarkEnd w:id="39"/>
    <w:bookmarkEnd w:id="40"/>
    <w:bookmarkStart w:id="44" w:name="review-reporting"/>
    <w:p>
      <w:pPr>
        <w:pStyle w:val="Heading1"/>
      </w:pPr>
      <w:r>
        <w:t xml:space="preserve">5. Review &amp; Reporting</w:t>
      </w:r>
    </w:p>
    <w:bookmarkStart w:id="41" w:name="emission-hotspots"/>
    <w:p>
      <w:pPr>
        <w:pStyle w:val="Heading2"/>
      </w:pPr>
      <w:r>
        <w:t xml:space="preserve">5.1. Emission Hotspots</w:t>
      </w:r>
    </w:p>
    <w:p>
      <w:pPr>
        <w:pStyle w:val="FirstParagraph"/>
      </w:pPr>
      <w:r>
        <w:t xml:space="preserve">The analysis identifies the following key emission hotspots for lihoogdgyv:</w:t>
      </w:r>
    </w:p>
    <w:p>
      <w:pPr>
        <w:numPr>
          <w:ilvl w:val="0"/>
          <w:numId w:val="1010"/>
        </w:numPr>
        <w:pStyle w:val="Compact"/>
      </w:pPr>
      <w:r>
        <w:rPr>
          <w:bCs/>
          <w:b/>
        </w:rPr>
        <w:t xml:space="preserve">Raw Materials (Scope 3, Category 1):</w:t>
      </w:r>
      <w:r>
        <w:t xml:space="preserve"> </w:t>
      </w:r>
      <w:r>
        <w:t xml:space="preserve">This stage contributes the largest share (65.57%) to the total PCF. The production of specialized electronic components, aluminum, and plastics are significant drivers. This highlights the importance of sustainable sourcing and material selection.</w:t>
      </w:r>
    </w:p>
    <w:p>
      <w:pPr>
        <w:numPr>
          <w:ilvl w:val="0"/>
          <w:numId w:val="1010"/>
        </w:numPr>
        <w:pStyle w:val="Compact"/>
      </w:pPr>
      <w:r>
        <w:rPr>
          <w:bCs/>
          <w:b/>
        </w:rPr>
        <w:t xml:space="preserve">Manufacturing (Scope 2):</w:t>
      </w:r>
      <w:r>
        <w:t xml:space="preserve"> </w:t>
      </w:r>
      <w:r>
        <w:t xml:space="preserve">Energy consumption during production in China accounts for 24.80% of the PCF. Despite 50% renewable energy usage, the remaining grid electricity still has a notable impact.</w:t>
      </w:r>
    </w:p>
    <w:p>
      <w:pPr>
        <w:numPr>
          <w:ilvl w:val="0"/>
          <w:numId w:val="1010"/>
        </w:numPr>
        <w:pStyle w:val="Compact"/>
      </w:pPr>
      <w:r>
        <w:rPr>
          <w:bCs/>
          <w:b/>
        </w:rPr>
        <w:t xml:space="preserve">Use Phase (Scope 3, Category 11):</w:t>
      </w:r>
      <w:r>
        <w:t xml:space="preserve"> </w:t>
      </w:r>
      <w:r>
        <w:t xml:space="preserve">The energy consumed over the product\'s 5-year lifespan contributes 16.15% to the PCF, driven by European grid emissions.</w:t>
      </w:r>
    </w:p>
    <w:bookmarkEnd w:id="41"/>
    <w:bookmarkStart w:id="42" w:name="reliability-and-data-quality"/>
    <w:p>
      <w:pPr>
        <w:pStyle w:val="Heading2"/>
      </w:pPr>
      <w:r>
        <w:t xml:space="preserve">5.2. Reliability and Data Quality</w:t>
      </w:r>
    </w:p>
    <w:p>
      <w:pPr>
        <w:pStyle w:val="FirstParagraph"/>
      </w:pPr>
      <w:r>
        <w:t xml:space="preserve">The reliability of this PCF analysis is influenced by the nature of the input data. Where specific parameters were provided as placeholders (e.g.,</w:t>
      </w:r>
      <w:r>
        <w:t xml:space="preserve"> </w:t>
      </w:r>
      <w:r>
        <w:t xml:space="preserve">xrtmiuui</w:t>
      </w:r>
      <w:r>
        <w:t xml:space="preserve">,</w:t>
      </w:r>
      <w:r>
        <w:t xml:space="preserve"> </w:t>
      </w:r>
      <w:r>
        <w:t xml:space="preserve">xhkhrrihuj</w:t>
      </w:r>
      <w:r>
        <w:t xml:space="preserve">), illustrative yet representative industry-average emission factors and activity data have been used. While these illustrative values allow for a complete demonstration of the GHG Protocol methodology, they represent secondary data. To enhance accuracy, dwgllpxgkj should prioritize collecting primary data from its direct suppliers and operations for all activity data and specific emission factors wherever possible, particularly for high-impact materials and processes.</w:t>
      </w:r>
    </w:p>
    <w:bookmarkEnd w:id="42"/>
    <w:bookmarkStart w:id="43" w:name="recommendations-for-emission-reduction"/>
    <w:p>
      <w:pPr>
        <w:pStyle w:val="Heading2"/>
      </w:pPr>
      <w:r>
        <w:t xml:space="preserve">5.3. Recommendations for Emission Reduction</w:t>
      </w:r>
    </w:p>
    <w:p>
      <w:pPr>
        <w:pStyle w:val="FirstParagraph"/>
      </w:pPr>
      <w:r>
        <w:t xml:space="preserve">Based on this analysis, dwgllpxgkj can focus on the following strategies to reduce the carbon footprint of lihoogdgyv:</w:t>
      </w:r>
    </w:p>
    <w:p>
      <w:pPr>
        <w:numPr>
          <w:ilvl w:val="0"/>
          <w:numId w:val="1011"/>
        </w:numPr>
        <w:pStyle w:val="Compact"/>
      </w:pPr>
      <w:r>
        <w:rPr>
          <w:bCs/>
          <w:b/>
        </w:rPr>
        <w:t xml:space="preserve">Material Optimization:</w:t>
      </w:r>
      <w:r>
        <w:t xml:space="preserve"> </w:t>
      </w:r>
      <w:r>
        <w:t xml:space="preserve">Engage with suppliers to identify lower-carbon alternatives for plastics, metals, and electronic components. Explore opportunities for increased recycled content in materials, as well as lightweighting.</w:t>
      </w:r>
    </w:p>
    <w:p>
      <w:pPr>
        <w:numPr>
          <w:ilvl w:val="0"/>
          <w:numId w:val="1011"/>
        </w:numPr>
        <w:pStyle w:val="Compact"/>
      </w:pPr>
      <w:r>
        <w:rPr>
          <w:bCs/>
          <w:b/>
        </w:rPr>
        <w:t xml:space="preserve">Renewable Energy Expansion:</w:t>
      </w:r>
      <w:r>
        <w:t xml:space="preserve"> </w:t>
      </w:r>
      <w:r>
        <w:t xml:space="preserve">Further increase the share of renewable energy used in manufacturing facilities, particularly in China, beyond the current 50%. This can significantly reduce Scope 2 emissions.</w:t>
      </w:r>
    </w:p>
    <w:p>
      <w:pPr>
        <w:numPr>
          <w:ilvl w:val="0"/>
          <w:numId w:val="1011"/>
        </w:numPr>
        <w:pStyle w:val="Compact"/>
      </w:pPr>
      <w:r>
        <w:rPr>
          <w:bCs/>
          <w:b/>
        </w:rPr>
        <w:t xml:space="preserve">Supply Chain Decarbonization:</w:t>
      </w:r>
      <w:r>
        <w:t xml:space="preserve"> </w:t>
      </w:r>
      <w:r>
        <w:t xml:space="preserve">Collaborate with upstream and downstream logistics partners to explore more fuel-efficient transport modes, optimize routes, and transition to lower-emission vehicles.</w:t>
      </w:r>
    </w:p>
    <w:p>
      <w:pPr>
        <w:numPr>
          <w:ilvl w:val="0"/>
          <w:numId w:val="1011"/>
        </w:numPr>
        <w:pStyle w:val="Compact"/>
      </w:pPr>
      <w:r>
        <w:rPr>
          <w:bCs/>
          <w:b/>
        </w:rPr>
        <w:t xml:space="preserve">Product Energy Efficiency:</w:t>
      </w:r>
      <w:r>
        <w:t xml:space="preserve"> </w:t>
      </w:r>
      <w:r>
        <w:t xml:space="preserve">Continue to innovate for reduced energy consumption during the product\'s use phase.</w:t>
      </w:r>
    </w:p>
    <w:p>
      <w:pPr>
        <w:numPr>
          <w:ilvl w:val="0"/>
          <w:numId w:val="1011"/>
        </w:numPr>
        <w:pStyle w:val="Compact"/>
      </w:pPr>
      <w:r>
        <w:rPr>
          <w:bCs/>
          <w:b/>
        </w:rPr>
        <w:t xml:space="preserve">Circular Economy Initiatives:</w:t>
      </w:r>
      <w:r>
        <w:t xml:space="preserve"> </w:t>
      </w:r>
      <w:r>
        <w:t xml:space="preserve">Expand and promote the existing take-back and refurbishment programs. Invest in advanced recycling technologies to maximize material recovery and reduce reliance on virgin materials, further enhancing the positive impact of EoL activities.</w:t>
      </w:r>
    </w:p>
    <w:p>
      <w:r>
        <w:pict>
          <v:rect style="width:0;height:1.5pt" o:hralign="center" o:hrstd="t" o:hr="t"/>
        </w:pict>
      </w:r>
    </w:p>
    <w:p>
      <w:pPr>
        <w:pStyle w:val="FirstParagraph"/>
      </w:pPr>
      <w:r>
        <w:t xml:space="preserve">Confidential - Internal Use Only | Page</w:t>
      </w:r>
      <w:r>
        <w:t xml:space="preserve"> </w:t>
      </w:r>
      <w:r>
        <w:t xml:space="preserve">1</w:t>
      </w:r>
      <w:r>
        <w:t xml:space="preserve"> </w:t>
      </w:r>
      <w:r>
        <w:t xml:space="preserve">of</w:t>
      </w:r>
      <w:r>
        <w:t xml:space="preserve"> </w:t>
      </w:r>
      <w:r>
        <w:t xml:space="preserve">X</w:t>
      </w:r>
      <w:r>
        <w:t xml:space="preserve"> </w:t>
      </w:r>
      <w:r>
        <w:t xml:space="preserve">| Generated Date: June 4, 2026</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lihoogdgyv</dc:title>
  <dc:creator/>
  <dc:description>High-detail Product Carbon Footprint (PCF) analysis for lihoogdgyv by dwgllpxgkj, adhering to GHG Protocol, including Scope 1, 2, and 3 emissions, 2026 LSR update, and 95% Scope 3 coverage.</dc:description>
  <dc:language>en</dc:language>
  <cp:keywords/>
  <dcterms:created xsi:type="dcterms:W3CDTF">2026-07-15T09:11:33Z</dcterms:created>
  <dcterms:modified xsi:type="dcterms:W3CDTF">2026-07-15T09:11:33Z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