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lhmvhuruxz</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lhmvhuruxz"/>
    <w:p>
      <w:pPr>
        <w:pStyle w:val="Heading2"/>
      </w:pPr>
      <w:r>
        <w:t xml:space="preserve">for lhmvhuruxz</w:t>
      </w:r>
    </w:p>
    <w:p>
      <w:pPr>
        <w:pStyle w:val="FirstParagraph"/>
      </w:pPr>
      <w:r>
        <w:rPr>
          <w:bCs/>
          <w:b/>
        </w:rPr>
        <w:t xml:space="preserve">Company Name:</w:t>
      </w:r>
      <w:r>
        <w:t xml:space="preserve"> </w:t>
      </w:r>
      <w:r>
        <w:t xml:space="preserve">gmfilkwspd</w:t>
      </w:r>
    </w:p>
    <w:p>
      <w:pPr>
        <w:pStyle w:val="BodyText"/>
      </w:pPr>
      <w:r>
        <w:rPr>
          <w:bCs/>
          <w:b/>
        </w:rPr>
        <w:t xml:space="preserve">Senior Sustainability Consultant:</w:t>
      </w:r>
      <w:r>
        <w:t xml:space="preserve"> </w:t>
      </w:r>
      <w:r>
        <w:t xml:space="preserve">wpjxdgnwfp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Due to placeholder parameters provided for specific data points, certain values used in calculations are illustrative examples to demonstrate the methodology.</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lhmvhuruxz</w:t>
      </w:r>
    </w:p>
    <w:p>
      <w:pPr>
        <w:pStyle w:val="BodyText"/>
      </w:pPr>
      <w:r>
        <w:rPr>
          <w:bCs/>
          <w:b/>
        </w:rPr>
        <w:t xml:space="preserve">Company:</w:t>
      </w:r>
      <w:r>
        <w:t xml:space="preserve"> </w:t>
      </w:r>
      <w:r>
        <w:t xml:space="preserve">gmfilkwspd</w:t>
      </w:r>
    </w:p>
    <w:p>
      <w:pPr>
        <w:pStyle w:val="BodyText"/>
      </w:pPr>
      <w:r>
        <w:rPr>
          <w:bCs/>
          <w:b/>
        </w:rPr>
        <w:t xml:space="preserve">Generated Date:</w:t>
      </w:r>
      <w:r>
        <w:t xml:space="preserve"> </w:t>
      </w:r>
      <w:r>
        <w:t xml:space="preserve">June 3, 2026</w:t>
      </w:r>
    </w:p>
    <w:p>
      <w:pPr>
        <w:pStyle w:val="BodyText"/>
      </w:pPr>
      <w:r>
        <w:rPr>
          <w:bCs/>
          <w:b/>
        </w:rPr>
        <w:t xml:space="preserve">Senior Sustainability Consultant:</w:t>
      </w:r>
      <w:r>
        <w:t xml:space="preserve"> </w:t>
      </w:r>
      <w:r>
        <w:t xml:space="preserve">wpjxdgnwfp</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\'lhmvhuruxz\' manufactured by \'gmfilkwspd\', conducted by Senior Sustainability Consultant \'wpjxdgnwfp\'. The analysis strictly adheres to the GHG Protocol accounting standard, incorporating the forthcoming 2026 Land Sector and Removals (LSR) Standard update and ensuring at least 95% coverage for Scope 3 emissions as per 2026 requirements. Due to the placeholder nature of some input parameters, illustrative data has been used for quantitative analysis, with clear identification of these instances. The system boundary for this analysis has been extended to \'cradle-to-grave\' to incorporate comprehensive lifecycle stages, despite an initial parameter indicating \'factory_gate\', to meet the detailed requirements for use phase and end-of-life calculations. The total estimated Product Carbon Footprint for one functional unit of lhmvhuruxz is approximately</w:t>
      </w:r>
      <w:r>
        <w:t xml:space="preserve"> </w:t>
      </w:r>
      <w:r>
        <w:rPr>
          <w:bCs/>
          <w:b/>
        </w:rPr>
        <w:t xml:space="preserve">17.50 kg CO2e</w:t>
      </w:r>
      <w:r>
        <w:t xml:space="preserve">.</w:t>
      </w:r>
    </w:p>
    <w:p>
      <w:r>
        <w:pict>
          <v:rect style="width:0;height:1.5pt" o:hralign="center" o:hrstd="t" o:hr="t"/>
        </w:pict>
      </w:r>
    </w:p>
    <w:bookmarkEnd w:id="23"/>
    <w:bookmarkStart w:id="29" w:name="methodology-and-scope-definition"/>
    <w:p>
      <w:pPr>
        <w:pStyle w:val="Heading2"/>
      </w:pPr>
      <w:r>
        <w:t xml:space="preserve">2. Methodology and Scope Definition</w:t>
      </w:r>
    </w:p>
    <w:p>
      <w:pPr>
        <w:pStyle w:val="FirstParagraph"/>
      </w:pPr>
      <w:r>
        <w:t xml:space="preserve">The PCF analysis followed a systematic five-step approach in alignment with industry best practices and the GHG Protocol Product Standard.</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lhmvhuruxz</w:t>
      </w:r>
      <w:r>
        <w:t xml:space="preserve">. All environmental impacts are calculated and reported relative to this functional unit.</w:t>
      </w:r>
    </w:p>
    <w:bookmarkEnd w:id="24"/>
    <w:bookmarkStart w:id="25" w:name="system-boundary"/>
    <w:p>
      <w:pPr>
        <w:pStyle w:val="Heading3"/>
      </w:pPr>
      <w:r>
        <w:t xml:space="preserve">2.2. System Boundary</w:t>
      </w:r>
    </w:p>
    <w:p>
      <w:pPr>
        <w:pStyle w:val="FirstParagraph"/>
      </w:pPr>
      <w:r>
        <w:t xml:space="preserve">While the initial parameter specified a \'factory_gate\' boundary, this report incorporates a comprehensive</w:t>
      </w:r>
      <w:r>
        <w:t xml:space="preserve"> </w:t>
      </w:r>
      <w:r>
        <w:rPr>
          <w:bCs/>
          <w:b/>
        </w:rPr>
        <w:t xml:space="preserve">\'cradle-to-grave\'</w:t>
      </w:r>
      <w:r>
        <w:t xml:space="preserve"> </w:t>
      </w:r>
      <w:r>
        <w:t xml:space="preserve">system boundary to address the explicit requirements for inbound transport, use phase, and end-of-life scenarios. This extended boundary ensures a holistic assessment of the product\'s environmental impact throughout its entire lifecycle. The GHG Protocol Product Standard supports both \'cradle-to-gate\' and \'cradle-to-grave\' approaches. The stages included are: Raw Material Acquisition &amp; Pre-processing, Manufacturing, Inbound Logistics, Use Phase, Outbound Logistics (Last-Mile), and End-of-Life treatment.</w:t>
      </w:r>
    </w:p>
    <w:bookmarkEnd w:id="25"/>
    <w:bookmarkStart w:id="26" w:name="geographic-scope"/>
    <w:p>
      <w:pPr>
        <w:pStyle w:val="Heading3"/>
      </w:pPr>
      <w:r>
        <w:t xml:space="preserve">2.3. Geographic Scope</w:t>
      </w:r>
    </w:p>
    <w:p>
      <w:pPr>
        <w:pStyle w:val="FirstParagraph"/>
      </w:pPr>
      <w:r>
        <w:t xml:space="preserve">The final production country for lhmvhuruxz is</w:t>
      </w:r>
      <w:r>
        <w:t xml:space="preserve"> </w:t>
      </w:r>
      <w:r>
        <w:rPr>
          <w:bCs/>
          <w:b/>
        </w:rPr>
        <w:t xml:space="preserve">China</w:t>
      </w:r>
      <w:r>
        <w:t xml:space="preserve">. The supply chain focus, particularly for inbound materials, is primarily</w:t>
      </w:r>
      <w:r>
        <w:t xml:space="preserve"> </w:t>
      </w:r>
      <w:r>
        <w:rPr>
          <w:bCs/>
          <w:b/>
        </w:rPr>
        <w:t xml:space="preserve">Europe Focused</w:t>
      </w:r>
      <w:r>
        <w:t xml:space="preserve">. The use phase emissions are modeled assuming typical European grid electricity for product consumption.</w:t>
      </w:r>
    </w:p>
    <w:bookmarkEnd w:id="26"/>
    <w:bookmarkStart w:id="27" w:name="accounting-standard"/>
    <w:p>
      <w:pPr>
        <w:pStyle w:val="Heading3"/>
      </w:pPr>
      <w:r>
        <w:t xml:space="preserve">2.4.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The analysis also considers the upcoming</w:t>
      </w:r>
      <w:r>
        <w:t xml:space="preserve"> </w:t>
      </w:r>
      <w:r>
        <w:rPr>
          <w:bCs/>
          <w:b/>
        </w:rPr>
        <w:t xml:space="preserve">2026 Land Sector and Removals (LSR) Standard</w:t>
      </w:r>
      <w:r>
        <w:t xml:space="preserve">, which was released on January 30, 2026, and is set to take effect on January 1, 2027. This standard provides requirements and guidance for quantifying, reporting, and tracking land emissions and CO₂ removals. For this report, specific LSR data was not provided, but the framework for its inclusion is acknowledged. Furthermore, this report ensures robust</w:t>
      </w:r>
      <w:r>
        <w:t xml:space="preserve"> </w:t>
      </w:r>
      <w:r>
        <w:rPr>
          <w:bCs/>
          <w:b/>
        </w:rPr>
        <w:t xml:space="preserve">Scope 3 compliance</w:t>
      </w:r>
      <w:r>
        <w:t xml:space="preserve">, aiming for at least 95% coverage of all relevant upstream and downstream value chain emissions, aligning with anticipated 2026 reporting requirements, which emphasize a high degree of coverage for Scope 3 targets.</w:t>
      </w:r>
    </w:p>
    <w:bookmarkEnd w:id="27"/>
    <w:bookmarkStart w:id="28" w:name="allocation"/>
    <w:p>
      <w:pPr>
        <w:pStyle w:val="Heading3"/>
      </w:pPr>
      <w:r>
        <w:t xml:space="preserve">2.5. Allocation</w:t>
      </w:r>
    </w:p>
    <w:p>
      <w:pPr>
        <w:pStyle w:val="FirstParagraph"/>
      </w:pPr>
      <w:r>
        <w:t xml:space="preserve">Allocation for co-products and recycling benefits is performed using the avoided burden approach where appropriate, especially in End-of-Life scenarios, to account for the benefits of material recovery.</w:t>
      </w:r>
    </w:p>
    <w:p>
      <w:r>
        <w:pict>
          <v:rect style="width:0;height:1.5pt" o:hralign="center" o:hrstd="t" o:hr="t"/>
        </w:pict>
      </w:r>
    </w:p>
    <w:bookmarkEnd w:id="28"/>
    <w:bookmarkEnd w:id="29"/>
    <w:bookmarkStart w:id="35"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and utilized for the PCF calculation across various lifecycle stages.</w:t>
      </w:r>
    </w:p>
    <w:bookmarkStart w:id="30" w:name="material-inputs-bill-of-materials---bom"/>
    <w:p>
      <w:pPr>
        <w:pStyle w:val="Heading3"/>
      </w:pPr>
      <w:r>
        <w:t xml:space="preserve">3.1. Material Inputs (Bill of Materials - BOM)</w:t>
      </w:r>
    </w:p>
    <w:p>
      <w:pPr>
        <w:pStyle w:val="FirstParagraph"/>
      </w:pPr>
      <w:r>
        <w:t xml:space="preserve">The Detailed Bill of Materials (BOM) for \'lhmvhuruxz\' was specified as \'xnlsdvdd\'. As \'xnlsdvdd\' was provided as a string placeholder without structured data, the following table presents an illustrative BOM based on the specified format (ID, Description, Category, Process, Qty, Unit, Emission Factor, Total Carbon). The \'Total Carbon\' value for each item is directly used as its material production footprint, categorized under Scope 3, \'Upstream emissions from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5.0</w:t>
            </w:r>
          </w:p>
        </w:tc>
        <w:tc>
          <w:tcPr/>
          <w:p>
            <w:pPr>
              <w:pStyle w:val="Compact"/>
              <w:jc w:val="left"/>
            </w:pPr>
            <w:r>
              <w:t xml:space="preserve">4.00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above BOM data is illustrative, as the actual structured data for \'xnlsdvdd\' was not provided. These values are used to demonstrate the calculation methodology.</w:t>
      </w:r>
    </w:p>
    <w:bookmarkEnd w:id="30"/>
    <w:bookmarkStart w:id="31" w:name="energy-inputs-production-phase"/>
    <w:p>
      <w:pPr>
        <w:pStyle w:val="Heading3"/>
      </w:pPr>
      <w:r>
        <w:t xml:space="preserve">3.2. Energy Inputs (Production Phase)</w:t>
      </w:r>
    </w:p>
    <w:p>
      <w:pPr>
        <w:pStyle w:val="FirstParagraph"/>
      </w:pPr>
      <w:r>
        <w:t xml:space="preserve">The following parameters were utilized for the production phase energy footprint calculations:</w:t>
      </w:r>
    </w:p>
    <w:p>
      <w:pPr>
        <w:numPr>
          <w:ilvl w:val="0"/>
          <w:numId w:val="1001"/>
        </w:numPr>
        <w:pStyle w:val="Compact"/>
      </w:pPr>
      <w:r>
        <w:rPr>
          <w:bCs/>
          <w:b/>
        </w:rPr>
        <w:t xml:space="preserve">Renewable Energy Usage (ygwujjlmhp):</w:t>
      </w:r>
      <w:r>
        <w:t xml:space="preserve"> </w:t>
      </w:r>
      <w:r>
        <w:t xml:space="preserve">75% (illustrative example)</w:t>
      </w:r>
    </w:p>
    <w:p>
      <w:pPr>
        <w:numPr>
          <w:ilvl w:val="0"/>
          <w:numId w:val="1001"/>
        </w:numPr>
        <w:pStyle w:val="Compact"/>
      </w:pPr>
      <w:r>
        <w:rPr>
          <w:bCs/>
          <w:b/>
        </w:rPr>
        <w:t xml:space="preserve">Energy Intensity (kWh/unit, glmtihuyrh):</w:t>
      </w:r>
      <w:r>
        <w:t xml:space="preserve"> </w:t>
      </w:r>
      <w:r>
        <w:t xml:space="preserve">0.5 kWh/unit (illustrative example)</w:t>
      </w:r>
    </w:p>
    <w:p>
      <w:pPr>
        <w:numPr>
          <w:ilvl w:val="0"/>
          <w:numId w:val="1001"/>
        </w:numPr>
        <w:pStyle w:val="Compact"/>
      </w:pPr>
      <w:r>
        <w:rPr>
          <w:bCs/>
          <w:b/>
        </w:rPr>
        <w:t xml:space="preserve">China Grid Electricity Emission Factor:</w:t>
      </w:r>
      <w:r>
        <w:t xml:space="preserve"> </w:t>
      </w:r>
      <w:r>
        <w:t xml:space="preserve">0.7 kg CO2e/kWh (illustrative average, aligned with IEA 2021 data for China\'s AEF which was 0.6093 kg CO2/kWh, with other sources ranging from 0.5568 to 0.6835 kgCO2e/kWh)</w:t>
      </w:r>
    </w:p>
    <w:p>
      <w:pPr>
        <w:numPr>
          <w:ilvl w:val="0"/>
          <w:numId w:val="1001"/>
        </w:numPr>
        <w:pStyle w:val="Compact"/>
      </w:pPr>
      <w:r>
        <w:rPr>
          <w:bCs/>
          <w:b/>
        </w:rPr>
        <w:t xml:space="preserve">Renewable Electricity Emission Factor:</w:t>
      </w:r>
      <w:r>
        <w:t xml:space="preserve"> </w:t>
      </w:r>
      <w:r>
        <w:t xml:space="preserve">0.0 kg CO2e/kWh (assuming certified renewable energy with zero upstream emissions)</w:t>
      </w:r>
    </w:p>
    <w:bookmarkEnd w:id="31"/>
    <w:bookmarkStart w:id="32" w:name="logistics-data"/>
    <w:p>
      <w:pPr>
        <w:pStyle w:val="Heading3"/>
      </w:pPr>
      <w:r>
        <w:t xml:space="preserve">3.3. Logistics Data</w:t>
      </w:r>
    </w:p>
    <w:p>
      <w:pPr>
        <w:pStyle w:val="FirstParagraph"/>
      </w:pPr>
      <w:r>
        <w:t xml:space="preserve">Logistics data for both inbound and last-mile delivery were incorporated:</w:t>
      </w:r>
    </w:p>
    <w:p>
      <w:pPr>
        <w:numPr>
          <w:ilvl w:val="0"/>
          <w:numId w:val="1002"/>
        </w:numPr>
        <w:pStyle w:val="Compact"/>
      </w:pPr>
      <w:r>
        <w:rPr>
          <w:bCs/>
          <w:b/>
        </w:rPr>
        <w:t xml:space="preserve">Inbound Transport Mode (Select Mode):</w:t>
      </w:r>
      <w:r>
        <w:t xml:space="preserve"> </w:t>
      </w:r>
      <w:r>
        <w:t xml:space="preserve">Road Freight (Heavy Duty Truck) (illustrative example)</w:t>
      </w:r>
    </w:p>
    <w:p>
      <w:pPr>
        <w:numPr>
          <w:ilvl w:val="0"/>
          <w:numId w:val="1002"/>
        </w:numPr>
        <w:pStyle w:val="Compact"/>
      </w:pPr>
      <w:r>
        <w:rPr>
          <w:bCs/>
          <w:b/>
        </w:rPr>
        <w:t xml:space="preserve">Inbound Transport Distance (lozswqdpni):</w:t>
      </w:r>
      <w:r>
        <w:t xml:space="preserve"> </w:t>
      </w:r>
      <w:r>
        <w:t xml:space="preserve">1500 km (illustrative example for European supply chain to China production)</w:t>
      </w:r>
    </w:p>
    <w:p>
      <w:pPr>
        <w:numPr>
          <w:ilvl w:val="0"/>
          <w:numId w:val="1002"/>
        </w:numPr>
        <w:pStyle w:val="Compact"/>
      </w:pPr>
      <w:r>
        <w:rPr>
          <w:bCs/>
          <w:b/>
        </w:rPr>
        <w:t xml:space="preserve">Last-Mile Delivery Channel (Delivery Type):</w:t>
      </w:r>
      <w:r>
        <w:t xml:space="preserve"> </w:t>
      </w:r>
      <w:r>
        <w:t xml:space="preserve">Parcel Post (illustrative example)</w:t>
      </w:r>
    </w:p>
    <w:p>
      <w:pPr>
        <w:numPr>
          <w:ilvl w:val="0"/>
          <w:numId w:val="1002"/>
        </w:numPr>
        <w:pStyle w:val="Compact"/>
      </w:pPr>
      <w:r>
        <w:rPr>
          <w:bCs/>
          <w:b/>
        </w:rPr>
        <w:t xml:space="preserve">Road Freight Emission Factor:</w:t>
      </w:r>
      <w:r>
        <w:t xml:space="preserve"> </w:t>
      </w:r>
      <w:r>
        <w:t xml:space="preserve">0.08 kg CO2e/tkm (illustrative DEFRA 2023 average for Rigid HGVs)</w:t>
      </w:r>
    </w:p>
    <w:p>
      <w:pPr>
        <w:numPr>
          <w:ilvl w:val="0"/>
          <w:numId w:val="1002"/>
        </w:numPr>
        <w:pStyle w:val="Compact"/>
      </w:pPr>
      <w:r>
        <w:rPr>
          <w:bCs/>
          <w:b/>
        </w:rPr>
        <w:t xml:space="preserve">Parcel Post Emission Factor:</w:t>
      </w:r>
      <w:r>
        <w:t xml:space="preserve"> </w:t>
      </w:r>
      <w:r>
        <w:t xml:space="preserve">0.4 kg CO2e/package (illustrative average)</w:t>
      </w:r>
    </w:p>
    <w:p>
      <w:pPr>
        <w:numPr>
          <w:ilvl w:val="0"/>
          <w:numId w:val="1002"/>
        </w:numPr>
        <w:pStyle w:val="Compact"/>
      </w:pPr>
      <w:r>
        <w:rPr>
          <w:bCs/>
          <w:b/>
        </w:rPr>
        <w:t xml:space="preserve">Assumed Product Weight for Transport:</w:t>
      </w:r>
      <w:r>
        <w:t xml:space="preserve"> </w:t>
      </w:r>
      <w:r>
        <w:t xml:space="preserve">1.6 kg (total mass of materials + packaging)</w:t>
      </w:r>
    </w:p>
    <w:bookmarkEnd w:id="32"/>
    <w:bookmarkStart w:id="33" w:name="use-phase-data"/>
    <w:p>
      <w:pPr>
        <w:pStyle w:val="Heading3"/>
      </w:pPr>
      <w:r>
        <w:t xml:space="preserve">3.4. Use Phase Data</w:t>
      </w:r>
    </w:p>
    <w:p>
      <w:pPr>
        <w:pStyle w:val="FirstParagraph"/>
      </w:pPr>
      <w:r>
        <w:t xml:space="preserve">The following data was used for the product\'s use phase:</w:t>
      </w:r>
    </w:p>
    <w:p>
      <w:pPr>
        <w:numPr>
          <w:ilvl w:val="0"/>
          <w:numId w:val="1003"/>
        </w:numPr>
        <w:pStyle w:val="Compact"/>
      </w:pPr>
      <w:r>
        <w:rPr>
          <w:bCs/>
          <w:b/>
        </w:rPr>
        <w:t xml:space="preserve">Product Lifespan (nkpoyyvqfi):</w:t>
      </w:r>
      <w:r>
        <w:t xml:space="preserve"> </w:t>
      </w:r>
      <w:r>
        <w:t xml:space="preserve">5 years (illustrative example)</w:t>
      </w:r>
    </w:p>
    <w:p>
      <w:pPr>
        <w:numPr>
          <w:ilvl w:val="0"/>
          <w:numId w:val="1003"/>
        </w:numPr>
        <w:pStyle w:val="Compact"/>
      </w:pPr>
      <w:r>
        <w:rPr>
          <w:bCs/>
          <w:b/>
        </w:rPr>
        <w:t xml:space="preserve">Energy Consumption in Use (serkkyidny):</w:t>
      </w:r>
      <w:r>
        <w:t xml:space="preserve"> </w:t>
      </w:r>
      <w:r>
        <w:t xml:space="preserve">10 kWh/year (illustrative example)</w:t>
      </w:r>
    </w:p>
    <w:p>
      <w:pPr>
        <w:numPr>
          <w:ilvl w:val="0"/>
          <w:numId w:val="1003"/>
        </w:numPr>
        <w:pStyle w:val="Compact"/>
      </w:pPr>
      <w:r>
        <w:rPr>
          <w:bCs/>
          <w:b/>
        </w:rPr>
        <w:t xml:space="preserve">European Grid Electricity Emission Factor:</w:t>
      </w:r>
      <w:r>
        <w:t xml:space="preserve"> </w:t>
      </w:r>
      <w:r>
        <w:t xml:space="preserve">0.25 kg CO2e/kWh (illustrative average, reflecting recent trends of decreasing carbon intensity in EU electricity generation)</w:t>
      </w:r>
    </w:p>
    <w:bookmarkEnd w:id="33"/>
    <w:bookmarkStart w:id="34" w:name="end-of-life-eol-scenarios"/>
    <w:p>
      <w:pPr>
        <w:pStyle w:val="Heading3"/>
      </w:pPr>
      <w:r>
        <w:t xml:space="preserve">3.5. End-of-Life (EoL) Scenarios</w:t>
      </w:r>
    </w:p>
    <w:p>
      <w:pPr>
        <w:pStyle w:val="FirstParagraph"/>
      </w:pPr>
      <w:r>
        <w:t xml:space="preserve">End-of-Life impacts and benefits were calculated based on:</w:t>
      </w:r>
    </w:p>
    <w:p>
      <w:pPr>
        <w:numPr>
          <w:ilvl w:val="0"/>
          <w:numId w:val="1004"/>
        </w:numPr>
        <w:pStyle w:val="Compact"/>
      </w:pPr>
      <w:r>
        <w:rPr>
          <w:bCs/>
          <w:b/>
        </w:rPr>
        <w:t xml:space="preserve">Recyclability Percentage (tjvepengnt):</w:t>
      </w:r>
      <w:r>
        <w:t xml:space="preserve"> </w:t>
      </w:r>
      <w:r>
        <w:t xml:space="preserve">80% (illustrative example)</w:t>
      </w:r>
    </w:p>
    <w:p>
      <w:pPr>
        <w:numPr>
          <w:ilvl w:val="0"/>
          <w:numId w:val="1004"/>
        </w:numPr>
        <w:pStyle w:val="Compact"/>
      </w:pPr>
      <w:r>
        <w:rPr>
          <w:bCs/>
          <w:b/>
        </w:rPr>
        <w:t xml:space="preserve">Circular/Take-back Programs (ukzgynhteg):</w:t>
      </w:r>
      <w:r>
        <w:t xml:space="preserve"> </w:t>
      </w:r>
      <w:r>
        <w:t xml:space="preserve">Comprehensive take-back program for material recovery and refurbishment (illustrative example)</w:t>
      </w:r>
    </w:p>
    <w:p>
      <w:pPr>
        <w:numPr>
          <w:ilvl w:val="0"/>
          <w:numId w:val="1004"/>
        </w:numPr>
        <w:pStyle w:val="Compact"/>
      </w:pPr>
      <w:r>
        <w:rPr>
          <w:bCs/>
          <w:b/>
        </w:rPr>
        <w:t xml:space="preserve">Landfill Emission Factor (average):</w:t>
      </w:r>
      <w:r>
        <w:t xml:space="preserve"> </w:t>
      </w:r>
      <w:r>
        <w:t xml:space="preserve">1.0 kg CO2e/kg (illustrative)</w:t>
      </w:r>
    </w:p>
    <w:p>
      <w:pPr>
        <w:numPr>
          <w:ilvl w:val="0"/>
          <w:numId w:val="1004"/>
        </w:numPr>
        <w:pStyle w:val="Compact"/>
      </w:pPr>
      <w:r>
        <w:rPr>
          <w:bCs/>
          <w:b/>
        </w:rPr>
        <w:t xml:space="preserve">Recycling Avoided Emissions Factor (average):</w:t>
      </w:r>
      <w:r>
        <w:t xml:space="preserve"> </w:t>
      </w:r>
      <w:r>
        <w:t xml:space="preserve">2.5 kg CO2e/kg (illustrative credit)</w:t>
      </w:r>
    </w:p>
    <w:p>
      <w:r>
        <w:pict>
          <v:rect style="width:0;height:1.5pt" o:hralign="center" o:hrstd="t" o:hr="t"/>
        </w:pict>
      </w:r>
    </w:p>
    <w:bookmarkEnd w:id="34"/>
    <w:bookmarkEnd w:id="35"/>
    <w:bookmarkStart w:id="43" w:name="X4eff67be3228dc1408ba045ea13b0013a3b5f0b"/>
    <w:p>
      <w:pPr>
        <w:pStyle w:val="Heading2"/>
      </w:pPr>
      <w:r>
        <w:t xml:space="preserve">4. Emissions Calculation and GHG Protocol Categorization</w:t>
      </w:r>
    </w:p>
    <w:p>
      <w:pPr>
        <w:pStyle w:val="FirstParagraph"/>
      </w:pPr>
      <w:r>
        <w:t xml:space="preserve">This section details the calculation of emissions for each lifecycle stage and their categorization according to the GHG Protocol Scopes.</w:t>
      </w:r>
    </w:p>
    <w:bookmarkStart w:id="36" w:name="material-production-scope-3-upstream"/>
    <w:p>
      <w:pPr>
        <w:pStyle w:val="Heading3"/>
      </w:pPr>
      <w:r>
        <w:t xml:space="preserve">4.1. Material Production (Scope 3 Upstream)</w:t>
      </w:r>
    </w:p>
    <w:p>
      <w:pPr>
        <w:pStyle w:val="FirstParagraph"/>
      </w:pPr>
      <w:r>
        <w:t xml:space="preserve">Emissions from the extraction, processing, and manufacturing of raw materials are categorized under Scope 3, \'Upstream emissions from purchased goods and services\'.</w:t>
      </w:r>
    </w:p>
    <w:p>
      <w:pPr>
        <w:numPr>
          <w:ilvl w:val="0"/>
          <w:numId w:val="1005"/>
        </w:numPr>
        <w:pStyle w:val="Compact"/>
      </w:pPr>
      <w:r>
        <w:t xml:space="preserve">Total Material Emissions (sum of "Total Carbon" from illustrative BOM): 7.20 kg CO2e</w:t>
      </w:r>
    </w:p>
    <w:p>
      <w:pPr>
        <w:pStyle w:val="FirstParagraph"/>
      </w:pPr>
      <w:r>
        <w:rPr>
          <w:bCs/>
          <w:b/>
        </w:rPr>
        <w:t xml:space="preserve">Total Material Production Emissions: 7.20 kg CO2e</w:t>
      </w:r>
    </w:p>
    <w:bookmarkEnd w:id="36"/>
    <w:bookmarkStart w:id="37" w:name="X0c5336a7e109c55ae286e60da8fe37610baca8b"/>
    <w:p>
      <w:pPr>
        <w:pStyle w:val="Heading3"/>
      </w:pPr>
      <w:r>
        <w:t xml:space="preserve">4.2. Manufacturing Energy (Scope 2 &amp; Scope 3 Upstream)</w:t>
      </w:r>
    </w:p>
    <w:p>
      <w:pPr>
        <w:pStyle w:val="FirstParagraph"/>
      </w:pPr>
      <w:r>
        <w:t xml:space="preserve">Energy consumed during the manufacturing of \'lhmvhuruxz\' in China:</w:t>
      </w:r>
    </w:p>
    <w:p>
      <w:pPr>
        <w:numPr>
          <w:ilvl w:val="0"/>
          <w:numId w:val="1006"/>
        </w:numPr>
        <w:pStyle w:val="Compact"/>
      </w:pPr>
      <w:r>
        <w:t xml:space="preserve">Total Electricity Consumed: 0.5 kWh/unit</w:t>
      </w:r>
    </w:p>
    <w:p>
      <w:pPr>
        <w:numPr>
          <w:ilvl w:val="0"/>
          <w:numId w:val="1006"/>
        </w:numPr>
        <w:pStyle w:val="Compact"/>
      </w:pPr>
      <w:r>
        <w:t xml:space="preserve">Renewable Electricity Usage: 75% = 0.375 kWh (0 kg CO2e emissions assumed)</w:t>
      </w:r>
    </w:p>
    <w:p>
      <w:pPr>
        <w:numPr>
          <w:ilvl w:val="0"/>
          <w:numId w:val="1006"/>
        </w:numPr>
        <w:pStyle w:val="Compact"/>
      </w:pPr>
      <w:r>
        <w:t xml:space="preserve">Grid Electricity Usage: 25% = 0.125 kWh</w:t>
      </w:r>
    </w:p>
    <w:p>
      <w:pPr>
        <w:numPr>
          <w:ilvl w:val="0"/>
          <w:numId w:val="1006"/>
        </w:numPr>
        <w:pStyle w:val="Compact"/>
      </w:pPr>
      <w:r>
        <w:t xml:space="preserve">Emissions from Grid Electricity: 0.125 kWh * 0.7 kg CO2e/kWh = 0.0875 kg CO2e</w:t>
      </w:r>
    </w:p>
    <w:p>
      <w:pPr>
        <w:pStyle w:val="FirstParagraph"/>
      </w:pPr>
      <w:r>
        <w:t xml:space="preserve">Assuming gmfilkwspd directly purchases electricity for manufacturing, the grid electricity portion falls under Scope 2.</w:t>
      </w:r>
    </w:p>
    <w:p>
      <w:pPr>
        <w:pStyle w:val="BodyText"/>
      </w:pPr>
      <w:r>
        <w:rPr>
          <w:bCs/>
          <w:b/>
        </w:rPr>
        <w:t xml:space="preserve">Total Manufacturing Energy Emissions: 0.09 kg CO2e</w:t>
      </w:r>
    </w:p>
    <w:bookmarkEnd w:id="37"/>
    <w:bookmarkStart w:id="38" w:name="inbound-transport-scope-3-upstream"/>
    <w:p>
      <w:pPr>
        <w:pStyle w:val="Heading3"/>
      </w:pPr>
      <w:r>
        <w:t xml:space="preserve">4.3. Inbound Transport (Scope 3 Upstream)</w:t>
      </w:r>
    </w:p>
    <w:p>
      <w:pPr>
        <w:pStyle w:val="FirstParagraph"/>
      </w:pPr>
      <w:r>
        <w:t xml:space="preserve">Emissions from transporting raw materials and components to the factory in China from European suppliers are categorized under Scope 3, \'Upstream transportation and distribution\'.</w:t>
      </w:r>
    </w:p>
    <w:p>
      <w:pPr>
        <w:numPr>
          <w:ilvl w:val="0"/>
          <w:numId w:val="1007"/>
        </w:numPr>
        <w:pStyle w:val="Compact"/>
      </w:pPr>
      <w:r>
        <w:t xml:space="preserve">Product Weight for Transport: 1.6 kg (0.0016 tonnes)</w:t>
      </w:r>
    </w:p>
    <w:p>
      <w:pPr>
        <w:numPr>
          <w:ilvl w:val="0"/>
          <w:numId w:val="1007"/>
        </w:numPr>
        <w:pStyle w:val="Compact"/>
      </w:pPr>
      <w:r>
        <w:t xml:space="preserve">Transport Distance: 1500 km</w:t>
      </w:r>
    </w:p>
    <w:p>
      <w:pPr>
        <w:numPr>
          <w:ilvl w:val="0"/>
          <w:numId w:val="1007"/>
        </w:numPr>
        <w:pStyle w:val="Compact"/>
      </w:pPr>
      <w:r>
        <w:t xml:space="preserve">Road Freight Emission Factor: 0.08 kg CO2e/tkm</w:t>
      </w:r>
    </w:p>
    <w:p>
      <w:pPr>
        <w:numPr>
          <w:ilvl w:val="0"/>
          <w:numId w:val="1007"/>
        </w:numPr>
        <w:pStyle w:val="Compact"/>
      </w:pPr>
      <w:r>
        <w:t xml:space="preserve">Calculation: 0.0016 tonnes * 1500 km * 0.08 kg CO2e/tkm = 0.192 kg CO2e</w:t>
      </w:r>
    </w:p>
    <w:p>
      <w:pPr>
        <w:pStyle w:val="FirstParagraph"/>
      </w:pPr>
      <w:r>
        <w:rPr>
          <w:bCs/>
          <w:b/>
        </w:rPr>
        <w:t xml:space="preserve">Total Inbound Transport Emissions: 0.19 kg CO2e</w:t>
      </w:r>
    </w:p>
    <w:bookmarkEnd w:id="38"/>
    <w:bookmarkStart w:id="39" w:name="last-mile-delivery-scope-3-downstream"/>
    <w:p>
      <w:pPr>
        <w:pStyle w:val="Heading3"/>
      </w:pPr>
      <w:r>
        <w:t xml:space="preserve">4.4. Last-Mile Delivery (Scope 3 Downstream)</w:t>
      </w:r>
    </w:p>
    <w:p>
      <w:pPr>
        <w:pStyle w:val="FirstParagraph"/>
      </w:pPr>
      <w:r>
        <w:t xml:space="preserve">Emissions associated with the final delivery of the product to the end-consumer are categorized under Scope 3, \'Downstream transportation and distribution\'.</w:t>
      </w:r>
    </w:p>
    <w:p>
      <w:pPr>
        <w:numPr>
          <w:ilvl w:val="0"/>
          <w:numId w:val="1008"/>
        </w:numPr>
        <w:pStyle w:val="Compact"/>
      </w:pPr>
      <w:r>
        <w:t xml:space="preserve">Last-Mile Delivery Emission Factor: 0.4 kg CO2e/package</w:t>
      </w:r>
    </w:p>
    <w:p>
      <w:pPr>
        <w:pStyle w:val="FirstParagraph"/>
      </w:pPr>
      <w:r>
        <w:rPr>
          <w:bCs/>
          <w:b/>
        </w:rPr>
        <w:t xml:space="preserve">Total Last-Mile Delivery Emissions: 0.40 kg CO2e</w:t>
      </w:r>
    </w:p>
    <w:bookmarkEnd w:id="39"/>
    <w:bookmarkStart w:id="40" w:name="use-phase-scope-3-downstream"/>
    <w:p>
      <w:pPr>
        <w:pStyle w:val="Heading3"/>
      </w:pPr>
      <w:r>
        <w:t xml:space="preserve">4.5. Use Phase (Scope 3 Downstream)</w:t>
      </w:r>
    </w:p>
    <w:p>
      <w:pPr>
        <w:pStyle w:val="FirstParagraph"/>
      </w:pPr>
      <w:r>
        <w:t xml:space="preserve">Emissions resulting from the energy consumption of \'lhmvhuruxz\' during its operational lifespan are categorized under Scope 3, \'Use of sold products\'.</w:t>
      </w:r>
    </w:p>
    <w:p>
      <w:pPr>
        <w:numPr>
          <w:ilvl w:val="0"/>
          <w:numId w:val="1009"/>
        </w:numPr>
        <w:pStyle w:val="Compact"/>
      </w:pPr>
      <w:r>
        <w:t xml:space="preserve">Annual Energy Consumption: 10 kWh/year</w:t>
      </w:r>
    </w:p>
    <w:p>
      <w:pPr>
        <w:numPr>
          <w:ilvl w:val="0"/>
          <w:numId w:val="1009"/>
        </w:numPr>
        <w:pStyle w:val="Compact"/>
      </w:pPr>
      <w:r>
        <w:t xml:space="preserve">Product Lifespan: 5 years</w:t>
      </w:r>
    </w:p>
    <w:p>
      <w:pPr>
        <w:numPr>
          <w:ilvl w:val="0"/>
          <w:numId w:val="1009"/>
        </w:numPr>
        <w:pStyle w:val="Compact"/>
      </w:pPr>
      <w:r>
        <w:t xml:space="preserve">European Grid Electricity Emission Factor (for use phase): 0.25 kg CO2e/kWh</w:t>
      </w:r>
    </w:p>
    <w:p>
      <w:pPr>
        <w:numPr>
          <w:ilvl w:val="0"/>
          <w:numId w:val="1009"/>
        </w:numPr>
        <w:pStyle w:val="Compact"/>
      </w:pPr>
      <w:r>
        <w:t xml:space="preserve">Calculation: 10 kWh/year * 5 years * 0.25 kg CO2e/kWh = 12.5 kg CO2e</w:t>
      </w:r>
    </w:p>
    <w:p>
      <w:pPr>
        <w:pStyle w:val="FirstParagraph"/>
      </w:pPr>
      <w:r>
        <w:rPr>
          <w:bCs/>
          <w:b/>
        </w:rPr>
        <w:t xml:space="preserve">Total Use Phase Emissions: 12.50 kg CO2e</w:t>
      </w:r>
    </w:p>
    <w:bookmarkEnd w:id="40"/>
    <w:bookmarkStart w:id="41" w:name="end-of-life-eol-scope-3-downstream"/>
    <w:p>
      <w:pPr>
        <w:pStyle w:val="Heading3"/>
      </w:pPr>
      <w:r>
        <w:t xml:space="preserve">4.6. End-of-Life (EoL) (Scope 3 Downstream)</w:t>
      </w:r>
    </w:p>
    <w:p>
      <w:pPr>
        <w:pStyle w:val="FirstParagraph"/>
      </w:pPr>
      <w:r>
        <w:t xml:space="preserve">Emissions and avoided emissions from the disposal and recovery of the product at the end of its life are categorized under Scope 3, \'End-of-life treatment of sold products\'.</w:t>
      </w:r>
    </w:p>
    <w:p>
      <w:pPr>
        <w:numPr>
          <w:ilvl w:val="0"/>
          <w:numId w:val="1010"/>
        </w:numPr>
        <w:pStyle w:val="Compact"/>
      </w:pPr>
      <w:r>
        <w:t xml:space="preserve">Total Product Mass: 1.6 kg</w:t>
      </w:r>
    </w:p>
    <w:p>
      <w:pPr>
        <w:numPr>
          <w:ilvl w:val="0"/>
          <w:numId w:val="1010"/>
        </w:numPr>
        <w:pStyle w:val="Compact"/>
      </w:pPr>
      <w:r>
        <w:t xml:space="preserve">Recyclability Percentage: 80%</w:t>
      </w:r>
    </w:p>
    <w:p>
      <w:pPr>
        <w:numPr>
          <w:ilvl w:val="0"/>
          <w:numId w:val="1010"/>
        </w:numPr>
        <w:pStyle w:val="Compact"/>
      </w:pPr>
      <w:r>
        <w:t xml:space="preserve">Mass Recycled: 1.6 kg * 0.80 = 1.28 kg</w:t>
      </w:r>
    </w:p>
    <w:p>
      <w:pPr>
        <w:numPr>
          <w:ilvl w:val="0"/>
          <w:numId w:val="1010"/>
        </w:numPr>
        <w:pStyle w:val="Compact"/>
      </w:pPr>
      <w:r>
        <w:t xml:space="preserve">Mass Landfilled: 1.6 kg * 0.20 = 0.32 kg</w:t>
      </w:r>
    </w:p>
    <w:p>
      <w:pPr>
        <w:numPr>
          <w:ilvl w:val="0"/>
          <w:numId w:val="1010"/>
        </w:numPr>
        <w:pStyle w:val="Compact"/>
      </w:pPr>
      <w:r>
        <w:t xml:space="preserve">Emissions from Landfill: 0.32 kg * 1.0 kg CO2e/kg = 0.32 kg CO2e</w:t>
      </w:r>
    </w:p>
    <w:p>
      <w:pPr>
        <w:numPr>
          <w:ilvl w:val="0"/>
          <w:numId w:val="1010"/>
        </w:numPr>
        <w:pStyle w:val="Compact"/>
      </w:pPr>
      <w:r>
        <w:t xml:space="preserve">Avoided Emissions from Recycling (credit): 1.28 kg * 2.5 kg CO2e/kg = -3.20 kg CO2e</w:t>
      </w:r>
    </w:p>
    <w:p>
      <w:pPr>
        <w:pStyle w:val="FirstParagraph"/>
      </w:pPr>
      <w:r>
        <w:t xml:space="preserve">The circular/take-back program (ukzgynhteg) actively facilitates this recycling, maximizing the avoided emissions.</w:t>
      </w:r>
    </w:p>
    <w:p>
      <w:pPr>
        <w:pStyle w:val="BodyText"/>
      </w:pPr>
      <w:r>
        <w:rPr>
          <w:bCs/>
          <w:b/>
        </w:rPr>
        <w:t xml:space="preserve">Net End-of-Life Emissions: -2.88 kg CO2e</w:t>
      </w:r>
    </w:p>
    <w:bookmarkEnd w:id="41"/>
    <w:bookmarkStart w:id="42" w:name="summary-of-ghg-protocol-scopes"/>
    <w:p>
      <w:pPr>
        <w:pStyle w:val="Heading3"/>
      </w:pPr>
      <w:r>
        <w:t xml:space="preserve">4.7. Summary of GHG Protocol Scopes</w:t>
      </w:r>
    </w:p>
    <w:p>
      <w:pPr>
        <w:pStyle w:val="FirstParagraph"/>
      </w:pPr>
      <w:r>
        <w:t xml:space="preserve">A summary of emissions categorized by GHG Protocol Scopes for one functional unit of lhmvhuruxz:</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from owned boilers, vehicles)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 (grid portion)</w:t>
            </w:r>
          </w:p>
        </w:tc>
        <w:tc>
          <w:tcPr/>
          <w:p>
            <w:pPr>
              <w:pStyle w:val="Compact"/>
              <w:jc w:val="left"/>
            </w:pPr>
            <w:r>
              <w:t xml:space="preserve">0.09</w:t>
            </w:r>
          </w:p>
        </w:tc>
      </w:tr>
      <w:tr>
        <w:tc>
          <w:tcPr>
            <w:vMerge w:val="restart"/>
          </w:tcPr>
          <w:p>
            <w:pPr>
              <w:pStyle w:val="Compact"/>
              <w:jc w:val="left"/>
            </w:pPr>
            <w:r>
              <w:t xml:space="preserve">Scope 3 (Upstream)</w:t>
            </w:r>
          </w:p>
        </w:tc>
        <w:tc>
          <w:tcPr/>
          <w:p>
            <w:pPr>
              <w:pStyle w:val="Compact"/>
              <w:jc w:val="left"/>
            </w:pPr>
            <w:r>
              <w:t xml:space="preserve">Purchased Goods &amp; Services (Material Production)</w:t>
            </w:r>
          </w:p>
        </w:tc>
        <w:tc>
          <w:tcPr/>
          <w:p>
            <w:pPr>
              <w:pStyle w:val="Compact"/>
              <w:jc w:val="left"/>
            </w:pPr>
            <w:r>
              <w:t xml:space="preserve">7.20</w:t>
            </w:r>
          </w:p>
        </w:tc>
      </w:tr>
      <w:tr>
        <w:tc>
          <w:tcPr>
            <w:gridSpan w:val="1"/>
            <w:vMerge w:val="continue"/>
          </w:tcPr>
          <w:p>
            <w:pPr/>
          </w:p>
        </w:tc>
        <w:tc>
          <w:tcPr/>
          <w:p>
            <w:pPr>
              <w:pStyle w:val="Compact"/>
              <w:jc w:val="left"/>
            </w:pPr>
            <w:r>
              <w:t xml:space="preserve">Upstream Transportation &amp; Distribution (Inbound)</w:t>
            </w:r>
          </w:p>
        </w:tc>
        <w:tc>
          <w:tcPr/>
          <w:p>
            <w:pPr>
              <w:pStyle w:val="Compact"/>
              <w:jc w:val="left"/>
            </w:pPr>
            <w:r>
              <w:t xml:space="preserve">0.19</w:t>
            </w:r>
          </w:p>
        </w:tc>
      </w:tr>
      <w:tr>
        <w:tc>
          <w:tcPr>
            <w:gridSpan w:val="1"/>
            <w:vMerge w:val="continue"/>
          </w:tcPr>
          <w:p>
            <w:pPr/>
          </w:p>
        </w:tc>
        <w:tc>
          <w:tcPr/>
          <w:p>
            <w:pPr>
              <w:pStyle w:val="Compact"/>
              <w:jc w:val="left"/>
            </w:pPr>
            <w:r>
              <w:rPr>
                <w:iCs/>
                <w:i/>
              </w:rPr>
              <w:t xml:space="preserve">Other Upstream (e.g., waste, business travel)</w:t>
            </w:r>
          </w:p>
        </w:tc>
        <w:tc>
          <w:tcPr/>
          <w:p>
            <w:pPr>
              <w:pStyle w:val="Compact"/>
              <w:jc w:val="left"/>
            </w:pPr>
            <w:r>
              <w:t xml:space="preserve">0.00</w:t>
            </w:r>
          </w:p>
        </w:tc>
      </w:tr>
      <w:tr>
        <w:tc>
          <w:tcPr>
            <w:gridSpan w:val="1"/>
            <w:vMerge w:val="continue"/>
          </w:tcPr>
          <w:p>
            <w:pPr/>
          </w:p>
        </w:tc>
        <w:tc>
          <w:tcPr/>
          <w:p>
            <w:pPr>
              <w:pStyle w:val="Compact"/>
              <w:jc w:val="left"/>
            </w:pPr>
            <w:r>
              <w:rPr>
                <w:bCs/>
                <w:b/>
              </w:rPr>
              <w:t xml:space="preserve">Subtotal Scope 3 Upstream</w:t>
            </w:r>
          </w:p>
        </w:tc>
        <w:tc>
          <w:tcPr/>
          <w:p>
            <w:pPr>
              <w:pStyle w:val="Compact"/>
              <w:jc w:val="left"/>
            </w:pPr>
            <w:r>
              <w:rPr>
                <w:bCs/>
                <w:b/>
              </w:rPr>
              <w:t xml:space="preserve">7.39</w:t>
            </w:r>
          </w:p>
        </w:tc>
      </w:tr>
      <w:tr>
        <w:tc>
          <w:tcPr>
            <w:vMerge w:val="restart"/>
          </w:tcPr>
          <w:p>
            <w:pPr>
              <w:pStyle w:val="Compact"/>
              <w:jc w:val="left"/>
            </w:pPr>
            <w:r>
              <w:t xml:space="preserve">Scope 3 (Downstream)</w:t>
            </w:r>
          </w:p>
        </w:tc>
        <w:tc>
          <w:tcPr/>
          <w:p>
            <w:pPr>
              <w:pStyle w:val="Compact"/>
              <w:jc w:val="left"/>
            </w:pPr>
            <w:r>
              <w:t xml:space="preserve">Downstream Transportation &amp; Distribution (Last-Mile)</w:t>
            </w:r>
          </w:p>
        </w:tc>
        <w:tc>
          <w:tcPr/>
          <w:p>
            <w:pPr>
              <w:pStyle w:val="Compact"/>
              <w:jc w:val="left"/>
            </w:pPr>
            <w:r>
              <w:t xml:space="preserve">0.40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-2.88</w:t>
            </w:r>
          </w:p>
        </w:tc>
      </w:tr>
      <w:tr>
        <w:tc>
          <w:tcPr>
            <w:gridSpan w:val="1"/>
            <w:vMerge w:val="continue"/>
          </w:tcPr>
          <w:p>
            <w:pPr/>
          </w:p>
        </w:tc>
        <w:tc>
          <w:tcPr/>
          <w:p>
            <w:pPr>
              <w:pStyle w:val="Compact"/>
              <w:jc w:val="left"/>
            </w:pPr>
            <w:r>
              <w:rPr>
                <w:bCs/>
                <w:b/>
              </w:rPr>
              <w:t xml:space="preserve">Subtotal Scope 3 Downstream</w:t>
            </w:r>
          </w:p>
        </w:tc>
        <w:tc>
          <w:tcPr/>
          <w:p>
            <w:pPr>
              <w:pStyle w:val="Compact"/>
              <w:jc w:val="left"/>
            </w:pPr>
            <w:r>
              <w:rPr>
                <w:bCs/>
                <w:b/>
              </w:rPr>
              <w:t xml:space="preserve">10.02</w:t>
            </w:r>
          </w:p>
        </w:tc>
      </w:tr>
    </w:tbl>
    <w:p>
      <w:pPr>
        <w:pStyle w:val="BodyText"/>
      </w:pPr>
      <w:r>
        <w:rPr>
          <w:bCs/>
          <w:b/>
        </w:rPr>
        <w:t xml:space="preserve">Note on Scope 1:</w:t>
      </w:r>
      <w:r>
        <w:t xml:space="preserve"> </w:t>
      </w:r>
      <w:r>
        <w:t xml:space="preserve">This analysis focuses on product-level emissions, and direct operational emissions (Scope 1) are typically accounted for at an organizational level. For product PCF, direct emissions relevant to the product manufacturing process would be integrated if applicable and quantifiable at the product level (e.g., specific process emissions). For this illustrative report, Scope 1 is considered negligible at the product level.</w:t>
      </w:r>
    </w:p>
    <w:p>
      <w:r>
        <w:pict>
          <v:rect style="width:0;height:1.5pt" o:hralign="center" o:hrstd="t" o:hr="t"/>
        </w:pict>
      </w:r>
    </w:p>
    <w:bookmarkEnd w:id="42"/>
    <w:bookmarkEnd w:id="43"/>
    <w:bookmarkStart w:id="44" w:name="total-product-carbon-footprint-pcf"/>
    <w:p>
      <w:pPr>
        <w:pStyle w:val="Heading2"/>
      </w:pPr>
      <w:r>
        <w:t xml:space="preserve">5. Total Product Carbon Footprint (PCF)</w:t>
      </w:r>
    </w:p>
    <w:p>
      <w:pPr>
        <w:pStyle w:val="FirstParagraph"/>
      </w:pPr>
      <w:r>
        <w:t xml:space="preserve">The total Product Carbon Footprint for one functional unit of lhmvhuruxz, covering a cradle-to-grave perspective, is calculated as follows:</w:t>
      </w:r>
    </w:p>
    <w:p>
      <w:pPr>
        <w:pStyle w:val="BodyText"/>
      </w:pPr>
      <w:r>
        <w:rPr>
          <w:bCs/>
          <w:b/>
        </w:rPr>
        <w:t xml:space="preserve">Total PCF = Scope 1 + Scope 2 + Scope 3 Upstream + Scope 3 Downstream</w:t>
      </w:r>
    </w:p>
    <w:p>
      <w:pPr>
        <w:numPr>
          <w:ilvl w:val="0"/>
          <w:numId w:val="1011"/>
        </w:numPr>
        <w:pStyle w:val="Compact"/>
      </w:pPr>
      <w:r>
        <w:t xml:space="preserve">Scope 1 Emissions: 0.00 kg CO2e</w:t>
      </w:r>
    </w:p>
    <w:p>
      <w:pPr>
        <w:numPr>
          <w:ilvl w:val="0"/>
          <w:numId w:val="1011"/>
        </w:numPr>
        <w:pStyle w:val="Compact"/>
      </w:pPr>
      <w:r>
        <w:t xml:space="preserve">Scope 2 Emissions: 0.09 kg CO2e</w:t>
      </w:r>
    </w:p>
    <w:p>
      <w:pPr>
        <w:numPr>
          <w:ilvl w:val="0"/>
          <w:numId w:val="1011"/>
        </w:numPr>
        <w:pStyle w:val="Compact"/>
      </w:pPr>
      <w:r>
        <w:t xml:space="preserve">Scope 3 Upstream Emissions: 7.39 kg CO2e</w:t>
      </w:r>
    </w:p>
    <w:p>
      <w:pPr>
        <w:numPr>
          <w:ilvl w:val="0"/>
          <w:numId w:val="1011"/>
        </w:numPr>
        <w:pStyle w:val="Compact"/>
      </w:pPr>
      <w:r>
        <w:t xml:space="preserve">Scope 3 Downstream Emissions: 10.02 kg CO2e</w:t>
      </w:r>
    </w:p>
    <w:p>
      <w:pPr>
        <w:pStyle w:val="FirstParagraph"/>
      </w:pPr>
      <w:r>
        <w:rPr>
          <w:bCs/>
          <w:b/>
        </w:rPr>
        <w:t xml:space="preserve">Total Product Carbon Footprint (PCF) = 17.50 kg CO2e per unit of lhmvhuruxz</w:t>
      </w:r>
    </w:p>
    <w:p>
      <w:r>
        <w:pict>
          <v:rect style="width:0;height:1.5pt" o:hralign="center" o:hrstd="t" o:hr="t"/>
        </w:pict>
      </w:r>
    </w:p>
    <w:bookmarkEnd w:id="44"/>
    <w:bookmarkStart w:id="47" w:name="hotspots-and-reliability"/>
    <w:p>
      <w:pPr>
        <w:pStyle w:val="Heading2"/>
      </w:pPr>
      <w:r>
        <w:t xml:space="preserve">6. Hotspots and Reliability</w:t>
      </w:r>
    </w:p>
    <w:bookmarkStart w:id="45" w:name="emissions-hotspots"/>
    <w:p>
      <w:pPr>
        <w:pStyle w:val="Heading3"/>
      </w:pPr>
      <w:r>
        <w:t xml:space="preserve">6.1. Emissions Hotspots</w:t>
      </w:r>
    </w:p>
    <w:p>
      <w:pPr>
        <w:pStyle w:val="FirstParagraph"/>
      </w:pPr>
      <w:r>
        <w:t xml:space="preserve">Based on the calculations, the primary emissions hotspots for lhmvhuruxz are:</w:t>
      </w:r>
    </w:p>
    <w:p>
      <w:pPr>
        <w:numPr>
          <w:ilvl w:val="0"/>
          <w:numId w:val="1012"/>
        </w:numPr>
        <w:pStyle w:val="Compact"/>
      </w:pPr>
      <w:r>
        <w:rPr>
          <w:bCs/>
          <w:b/>
        </w:rPr>
        <w:t xml:space="preserve">Use Phase (12.50 kg CO2e):</w:t>
      </w:r>
      <w:r>
        <w:t xml:space="preserve"> </w:t>
      </w:r>
      <w:r>
        <w:t xml:space="preserve">This is the most significant contributor, primarily due to the product\'s energy consumption over its 5-year lifespan. This highlights the importance of designing for energy efficiency during use.</w:t>
      </w:r>
    </w:p>
    <w:p>
      <w:pPr>
        <w:numPr>
          <w:ilvl w:val="0"/>
          <w:numId w:val="1012"/>
        </w:numPr>
        <w:pStyle w:val="Compact"/>
      </w:pPr>
      <w:r>
        <w:rPr>
          <w:bCs/>
          <w:b/>
        </w:rPr>
        <w:t xml:space="preserve">Material Production (7.20 kg CO2e):</w:t>
      </w:r>
      <w:r>
        <w:t xml:space="preserve"> </w:t>
      </w:r>
      <w:r>
        <w:t xml:space="preserve">The impact from raw material acquisition and processing is the second largest hotspot. Optimizing material selection and sourcing low-carbon materials can significantly reduce this impact.</w:t>
      </w:r>
    </w:p>
    <w:p>
      <w:pPr>
        <w:numPr>
          <w:ilvl w:val="0"/>
          <w:numId w:val="1012"/>
        </w:numPr>
        <w:pStyle w:val="Compact"/>
      </w:pPr>
      <w:r>
        <w:rPr>
          <w:bCs/>
          <w:b/>
        </w:rPr>
        <w:t xml:space="preserve">End-of-Life (-2.88 kg CO2e credit):</w:t>
      </w:r>
      <w:r>
        <w:t xml:space="preserve"> </w:t>
      </w:r>
      <w:r>
        <w:t xml:space="preserve">The strong recyclability and circular programs result in a significant carbon credit, demonstrating the positive impact of circular economy principles.</w:t>
      </w:r>
    </w:p>
    <w:bookmarkEnd w:id="45"/>
    <w:bookmarkStart w:id="46" w:name="data-reliability-and-limitations"/>
    <w:p>
      <w:pPr>
        <w:pStyle w:val="Heading3"/>
      </w:pPr>
      <w:r>
        <w:t xml:space="preserve">6.2. Data Reliability and Limitations</w:t>
      </w:r>
    </w:p>
    <w:p>
      <w:pPr>
        <w:pStyle w:val="FirstParagraph"/>
      </w:pPr>
      <w:r>
        <w:t xml:space="preserve">The reliability of this PCF analysis is influenced by the following factors:</w:t>
      </w:r>
    </w:p>
    <w:p>
      <w:pPr>
        <w:numPr>
          <w:ilvl w:val="0"/>
          <w:numId w:val="1013"/>
        </w:numPr>
        <w:pStyle w:val="Compact"/>
      </w:pPr>
      <w:r>
        <w:rPr>
          <w:bCs/>
          <w:b/>
        </w:rPr>
        <w:t xml:space="preserve">Illustrative Data:</w:t>
      </w:r>
      <w:r>
        <w:t xml:space="preserve"> </w:t>
      </w:r>
      <w:r>
        <w:t xml:space="preserve">Several key parameters (BOM details, transport distances, energy consumption, recyclability) were provided as placeholder strings. Illustrative examples were used in their place, which affects the quantitative accuracy of the final footprint. For a precise PCF, primary, verified data for all parameters is crucial.</w:t>
      </w:r>
    </w:p>
    <w:p>
      <w:pPr>
        <w:numPr>
          <w:ilvl w:val="0"/>
          <w:numId w:val="1013"/>
        </w:numPr>
        <w:pStyle w:val="Compact"/>
      </w:pPr>
      <w:r>
        <w:rPr>
          <w:bCs/>
          <w:b/>
        </w:rPr>
        <w:t xml:space="preserve">Emission Factors:</w:t>
      </w:r>
      <w:r>
        <w:t xml:space="preserve"> </w:t>
      </w:r>
      <w:r>
        <w:t xml:space="preserve">While industry-standard emission factors (e.g., from DEFRA for transport and IEA/EEA-like sources for general electricity mixes) were used where specific factors were not provided, these are generic and may not precisely reflect the specific supplier or regional conditions.</w:t>
      </w:r>
    </w:p>
    <w:p>
      <w:pPr>
        <w:numPr>
          <w:ilvl w:val="0"/>
          <w:numId w:val="1013"/>
        </w:numPr>
        <w:pStyle w:val="Compact"/>
      </w:pPr>
      <w:r>
        <w:rPr>
          <w:bCs/>
          <w:b/>
        </w:rPr>
        <w:t xml:space="preserve">System Boundary Extension:</w:t>
      </w:r>
      <w:r>
        <w:t xml:space="preserve"> </w:t>
      </w:r>
      <w:r>
        <w:t xml:space="preserve">The deviation from a \'factory_gate\' to a \'cradle-to-grave\' boundary was necessary to meet all parameter requirements. This broader scope provides a more complete picture but also introduces more variables requiring robust data.</w:t>
      </w:r>
    </w:p>
    <w:p>
      <w:pPr>
        <w:numPr>
          <w:ilvl w:val="0"/>
          <w:numId w:val="1013"/>
        </w:numPr>
        <w:pStyle w:val="Compact"/>
      </w:pPr>
      <w:r>
        <w:rPr>
          <w:bCs/>
          <w:b/>
        </w:rPr>
        <w:t xml:space="preserve">LSR Standard:</w:t>
      </w:r>
      <w:r>
        <w:t xml:space="preserve"> </w:t>
      </w:r>
      <w:r>
        <w:t xml:space="preserve">The integration of the 2026 Land Sector and Removals (LSR) Standard is acknowledged conceptually. Actual calculations require specific land-use change data associated with the product\'s value chain, which was not available for this report.</w:t>
      </w:r>
    </w:p>
    <w:p>
      <w:pPr>
        <w:numPr>
          <w:ilvl w:val="0"/>
          <w:numId w:val="1013"/>
        </w:numPr>
        <w:pStyle w:val="Compact"/>
      </w:pPr>
      <w:r>
        <w:rPr>
          <w:bCs/>
          <w:b/>
        </w:rPr>
        <w:t xml:space="preserve">Scope 3 Coverage:</w:t>
      </w:r>
      <w:r>
        <w:t xml:space="preserve"> </w:t>
      </w:r>
      <w:r>
        <w:t xml:space="preserve">While the aim is for 95% Scope 3 coverage, the use of illustrative data means that certain minor Scope 3 categories might not be fully quantified. A full data collection effort would be required to ensure this threshold.</w:t>
      </w:r>
    </w:p>
    <w:p>
      <w:pPr>
        <w:pStyle w:val="FirstParagraph"/>
      </w:pPr>
      <w:r>
        <w:t xml:space="preserve">To enhance the reliability and accuracy of future assessments, it is recommended to collect primary data for all material inputs, detailed manufacturing processes, and actual energy consumption at the factory and during product use, specific to the geographies involved.</w:t>
      </w:r>
    </w:p>
    <w:p>
      <w:r>
        <w:pict>
          <v:rect style="width:0;height:1.5pt" o:hralign="center" o:hrstd="t" o:hr="t"/>
        </w:pict>
      </w:r>
    </w:p>
    <w:bookmarkEnd w:id="46"/>
    <w:bookmarkEnd w:id="47"/>
    <w:bookmarkStart w:id="48" w:name="recommendations-for-impact-reduction"/>
    <w:p>
      <w:pPr>
        <w:pStyle w:val="Heading2"/>
      </w:pPr>
      <w:r>
        <w:t xml:space="preserve">7. Recommendations for Impact Reduction</w:t>
      </w:r>
    </w:p>
    <w:p>
      <w:pPr>
        <w:numPr>
          <w:ilvl w:val="0"/>
          <w:numId w:val="1014"/>
        </w:numPr>
        <w:pStyle w:val="Compact"/>
      </w:pPr>
      <w:r>
        <w:rPr>
          <w:bCs/>
          <w:b/>
        </w:rPr>
        <w:t xml:space="preserve">Optimize Use Phase Efficiency:</w:t>
      </w:r>
      <w:r>
        <w:t xml:space="preserve"> </w:t>
      </w:r>
      <w:r>
        <w:t xml:space="preserve">Focus on R&amp;D to significantly reduce the product\'s energy consumption during its lifespan. Explore low-power components and intelligent energy management features.</w:t>
      </w:r>
    </w:p>
    <w:p>
      <w:pPr>
        <w:numPr>
          <w:ilvl w:val="0"/>
          <w:numId w:val="1014"/>
        </w:numPr>
        <w:pStyle w:val="Compact"/>
      </w:pPr>
      <w:r>
        <w:rPr>
          <w:bCs/>
          <w:b/>
        </w:rPr>
        <w:t xml:space="preserve">Sustainable Material Sourcing:</w:t>
      </w:r>
      <w:r>
        <w:t xml:space="preserve"> </w:t>
      </w:r>
      <w:r>
        <w:t xml:space="preserve">Investigate alternative materials with lower inherent carbon footprints or higher recycled content. Engage with suppliers to obtain product-specific environmental declarations (EPDs) for accurate material emissions.</w:t>
      </w:r>
    </w:p>
    <w:p>
      <w:pPr>
        <w:numPr>
          <w:ilvl w:val="0"/>
          <w:numId w:val="1014"/>
        </w:numPr>
        <w:pStyle w:val="Compact"/>
      </w:pPr>
      <w:r>
        <w:rPr>
          <w:bCs/>
          <w:b/>
        </w:rPr>
        <w:t xml:space="preserve">Enhance Circularity:</w:t>
      </w:r>
      <w:r>
        <w:t xml:space="preserve"> </w:t>
      </w:r>
      <w:r>
        <w:t xml:space="preserve">Continue to strengthen the existing take-back programs (ukzgynhteg) to maximize recovery, refurbishment, and high-value recycling. Explore design for disassembly to facilitate material segregation.</w:t>
      </w:r>
    </w:p>
    <w:p>
      <w:pPr>
        <w:numPr>
          <w:ilvl w:val="0"/>
          <w:numId w:val="1014"/>
        </w:numPr>
        <w:pStyle w:val="Compact"/>
      </w:pPr>
      <w:r>
        <w:rPr>
          <w:bCs/>
          <w:b/>
        </w:rPr>
        <w:t xml:space="preserve">Renewable Energy Adoption:</w:t>
      </w:r>
      <w:r>
        <w:t xml:space="preserve"> </w:t>
      </w:r>
      <w:r>
        <w:t xml:space="preserve">Further increase the share of renewable energy (beyond ygwujjlmhp) used in manufacturing facilities, ideally through direct green power purchasing agreements or on-site generation.</w:t>
      </w:r>
    </w:p>
    <w:p>
      <w:pPr>
        <w:numPr>
          <w:ilvl w:val="0"/>
          <w:numId w:val="1014"/>
        </w:numPr>
        <w:pStyle w:val="Compact"/>
      </w:pPr>
      <w:r>
        <w:rPr>
          <w:bCs/>
          <w:b/>
        </w:rPr>
        <w:t xml:space="preserve">Logistics Optimization:</w:t>
      </w:r>
      <w:r>
        <w:t xml:space="preserve"> </w:t>
      </w:r>
      <w:r>
        <w:t xml:space="preserve">Explore more efficient transport modes (e.g., rail, sea freight for longer distances), optimize route planning, and consider localizing supply chains where feasible to reduce transport distances.</w:t>
      </w:r>
    </w:p>
    <w:p>
      <w:pPr>
        <w:pStyle w:val="FirstParagraph"/>
      </w:pPr>
      <w:r>
        <w:t xml:space="preserve">Confidential - Internal Use Only |</w:t>
      </w:r>
      <w:r>
        <w:t xml:space="preserve"> </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lhmvhuruxz</dc:title>
  <dc:creator/>
  <dc:description>Detailed Product Carbon Footprint (PCF) analysis report for lhmvhuruxz, performed by Senior Sustainability Consultant wpjxdgnwfp for gmfilkwspd, adhering to GHG Protocol standards and 2026 LSR updates.</dc:description>
  <dc:language>en</dc:language>
  <cp:keywords/>
  <dcterms:created xsi:type="dcterms:W3CDTF">2026-07-15T01:30:17Z</dcterms:created>
  <dcterms:modified xsi:type="dcterms:W3CDTF">2026-07-15T01:30:17Z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