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lhllvydldv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lhllvydldv</w:t>
      </w:r>
    </w:p>
    <w:p>
      <w:pPr>
        <w:pStyle w:val="BodyText"/>
      </w:pPr>
      <w:r>
        <w:rPr>
          <w:bCs/>
          <w:b/>
        </w:rPr>
        <w:t xml:space="preserve">Company Name:</w:t>
      </w:r>
      <w:r>
        <w:t xml:space="preserve"> </w:t>
      </w:r>
      <w:r>
        <w:t xml:space="preserve">ifhojzfiwx</w:t>
      </w:r>
    </w:p>
    <w:p>
      <w:pPr>
        <w:pStyle w:val="BodyText"/>
      </w:pPr>
      <w:r>
        <w:rPr>
          <w:bCs/>
          <w:b/>
        </w:rPr>
        <w:t xml:space="preserve">Senior Sustainability Consultant:</w:t>
      </w:r>
      <w:r>
        <w:t xml:space="preserve"> </w:t>
      </w:r>
      <w:r>
        <w:t xml:space="preserve">wgipmrstmi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37" w:name="X346aeec86dd3cd1c1e1750d205b805b5653e905"/>
    <w:p>
      <w:pPr>
        <w:pStyle w:val="Heading1"/>
      </w:pPr>
      <w:r>
        <w:t xml:space="preserve">Product Carbon Footprint Analysis Report for lhllvydldv</w:t>
      </w:r>
    </w:p>
    <w:p>
      <w:pPr>
        <w:pStyle w:val="FirstParagraph"/>
      </w:pPr>
      <w:r>
        <w:rPr>
          <w:bCs/>
          <w:b/>
        </w:rPr>
        <w:t xml:space="preserve">Generated Date:</w:t>
      </w:r>
      <w:r>
        <w:t xml:space="preserve"> </w:t>
      </w:r>
      <w:r>
        <w:t xml:space="preserve">Friday, May 31,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lhllvydldv</w:t>
      </w:r>
      <w:r>
        <w:t xml:space="preserve">, manufactured by</w:t>
      </w:r>
      <w:r>
        <w:t xml:space="preserve"> </w:t>
      </w:r>
      <w:r>
        <w:rPr>
          <w:bCs/>
          <w:b/>
        </w:rPr>
        <w:t xml:space="preserve">ifhojzfiwx</w:t>
      </w:r>
      <w:r>
        <w:t xml:space="preserve">. The analysis was conducted by</w:t>
      </w:r>
      <w:r>
        <w:t xml:space="preserve"> </w:t>
      </w:r>
      <w:r>
        <w:rPr>
          <w:bCs/>
          <w:b/>
        </w:rPr>
        <w:t xml:space="preserve">wgipmrstmi</w:t>
      </w:r>
      <w:r>
        <w:t xml:space="preserve">, a Senior Sustainability Consultant, adhering strictly to the Greenhouse Gas (GHG) Protocol. The total cradle-to-gate-plus-use-and-end-of-life carbon footprint for one functional unit of</w:t>
      </w:r>
      <w:r>
        <w:t xml:space="preserve"> </w:t>
      </w:r>
      <w:r>
        <w:rPr>
          <w:bCs/>
          <w:b/>
        </w:rPr>
        <w:t xml:space="preserve">lhllvydldv</w:t>
      </w:r>
      <w:r>
        <w:t xml:space="preserve"> </w:t>
      </w:r>
      <w:r>
        <w:t xml:space="preserve">is estimated at</w:t>
      </w:r>
      <w:r>
        <w:t xml:space="preserve"> </w:t>
      </w:r>
      <w:r>
        <w:rPr>
          <w:bCs/>
          <w:b/>
        </w:rPr>
        <w:t xml:space="preserve">24.05 kg CO2e</w:t>
      </w:r>
      <w:r>
        <w:t xml:space="preserve">. The use phase of the product represents the largest emission hotspot, followed by material acquisition and production. This analysis incorporates the latest 2026 updates, including a focus on the Land Sector and Removals (LSR) Standard and ensuring comprehensive Scope 3 coverage.</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w:t>
      </w:r>
      <w:r>
        <w:t xml:space="preserve"> </w:t>
      </w:r>
      <w:r>
        <w:rPr>
          <w:bCs/>
          <w:b/>
        </w:rPr>
        <w:t xml:space="preserve">lhllvydldv</w:t>
      </w:r>
      <w:r>
        <w:t xml:space="preserve"> </w:t>
      </w:r>
      <w:r>
        <w:t xml:space="preserve">was performed in accordance with the five-step methodology prescribed by the GHG Protocol Product Standard, encompassing a comprehensive life cycle assessment approach.</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lhllvydldv</w:t>
      </w:r>
      <w:r>
        <w:t xml:space="preserve">, providing the basis for all calculations and comparisons.</w:t>
      </w:r>
    </w:p>
    <w:p>
      <w:pPr>
        <w:numPr>
          <w:ilvl w:val="0"/>
          <w:numId w:val="1001"/>
        </w:numPr>
        <w:pStyle w:val="Compact"/>
      </w:pPr>
      <w:r>
        <w:rPr>
          <w:bCs/>
          <w:b/>
        </w:rPr>
        <w:t xml:space="preserve">System Boundary:</w:t>
      </w:r>
      <w:r>
        <w:t xml:space="preserve"> </w:t>
      </w:r>
      <w:r>
        <w:t xml:space="preserve">A "cradle-to-grave" system boundary was applied, encompassing raw material acquisition, manufacturing, transportation, the product use phase, and end-of-life treatment (</w:t>
      </w:r>
      <w:r>
        <w:rPr>
          <w:bCs/>
          <w:b/>
        </w:rPr>
        <w:t xml:space="preserve">factory_gate</w:t>
      </w:r>
      <w:r>
        <w:t xml:space="preserve"> </w:t>
      </w:r>
      <w:r>
        <w:t xml:space="preserve">was mentioned for geographic scope, but the methodology description implies cradle-to-grave. I will clarify that \'factory_gate\' is the boundary of the *production* phase, while the overall system boundary for PCF is cradle-to-grave for a complete picture). The boundary explicitly includes upstream emissions from purchased goods and services, direct operational emissions from production, and downstream emissions from product use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transportation to Europe and use phase in Europe).</w:t>
      </w:r>
    </w:p>
    <w:p>
      <w:pPr>
        <w:numPr>
          <w:ilvl w:val="0"/>
          <w:numId w:val="1001"/>
        </w:numPr>
        <w:pStyle w:val="Compact"/>
      </w:pPr>
      <w:r>
        <w:rPr>
          <w:bCs/>
          <w:b/>
        </w:rPr>
        <w:t xml:space="preserve">Allocation:</w:t>
      </w:r>
      <w:r>
        <w:t xml:space="preserve"> </w:t>
      </w:r>
      <w:r>
        <w:t xml:space="preserve">Emissions from co-products and shared processes are allocated based on physical parameters (e.g., mass) where possible, ensuring consistency and adherence to GHG Protocol requirements.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Corporate Value Chain (Scope 3) Accounting and Reporting Standard and the Product Life Cycle Accounting and Reporting Standard.</w:t>
      </w:r>
    </w:p>
    <w:bookmarkEnd w:id="22"/>
    <w:bookmarkStart w:id="28" w:name="Xfb62e455f58b627273532d8d13769fa933cf569"/>
    <w:p>
      <w:pPr>
        <w:pStyle w:val="Heading3"/>
      </w:pPr>
      <w:r>
        <w:t xml:space="preserve">2.2. Step 2 &amp; 3: Map Lifecycle &amp; Collect Data (LCI Inventory)</w:t>
      </w:r>
    </w:p>
    <w:p>
      <w:pPr>
        <w:pStyle w:val="FirstParagraph"/>
      </w:pPr>
      <w:r>
        <w:t xml:space="preserve">A detailed inventory of all material and energy inputs across the product\'s lifecycle was compiled. Primary data was prioritized where available, complemented by secondary data from industry-standard databases like Ecoinvent and DEFRA for generic processes and emission factors.</w:t>
      </w:r>
    </w:p>
    <w:bookmarkStart w:id="23" w:name="detailed-bill-of-materials-bom-kgtxqowx"/>
    <w:p>
      <w:pPr>
        <w:pStyle w:val="Heading4"/>
      </w:pPr>
      <w:r>
        <w:t xml:space="preserve">2.2.1. Detailed Bill of Materials (BOM): kgtxqowx</w:t>
      </w:r>
    </w:p>
    <w:p>
      <w:pPr>
        <w:pStyle w:val="FirstParagraph"/>
      </w:pPr>
      <w:r>
        <w:t xml:space="preserve">The following Bill of Materials (BOM) was used for high-accuracy material impact calculation, with emission factors (EF) derived from industry-standard sources, primarily focusing on cradle-to-gate impacts.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8.0 kgCO2e/kg</w:t>
            </w:r>
          </w:p>
        </w:tc>
        <w:tc>
          <w:tcPr/>
          <w:p>
            <w:pPr>
              <w:pStyle w:val="Compact"/>
              <w:jc w:val="left"/>
            </w:pPr>
            <w:r>
              <w:t xml:space="preserve">4.0000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2.576 kgCO2e/kg</w:t>
            </w:r>
          </w:p>
        </w:tc>
        <w:tc>
          <w:tcPr/>
          <w:p>
            <w:pPr>
              <w:pStyle w:val="Compact"/>
              <w:jc w:val="left"/>
            </w:pPr>
            <w:r>
              <w:t xml:space="preserve">0.7728</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10.0 kgCO2e/unit</w:t>
            </w:r>
          </w:p>
        </w:tc>
        <w:tc>
          <w:tcPr/>
          <w:p>
            <w:pPr>
              <w:pStyle w:val="Compact"/>
              <w:jc w:val="left"/>
            </w:pPr>
            <w:r>
              <w:t xml:space="preserve">1.0000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 kg</w:t>
            </w:r>
          </w:p>
        </w:tc>
        <w:tc>
          <w:tcPr/>
          <w:p>
            <w:pPr>
              <w:pStyle w:val="Compact"/>
              <w:jc w:val="left"/>
            </w:pPr>
            <w:r>
              <w:t xml:space="preserve">4.1 kgCO2e/kg</w:t>
            </w:r>
          </w:p>
        </w:tc>
        <w:tc>
          <w:tcPr/>
          <w:p>
            <w:pPr>
              <w:pStyle w:val="Compact"/>
              <w:jc w:val="left"/>
            </w:pPr>
            <w:r>
              <w:t xml:space="preserve">0.0820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 kg</w:t>
            </w:r>
          </w:p>
        </w:tc>
        <w:tc>
          <w:tcPr/>
          <w:p>
            <w:pPr>
              <w:pStyle w:val="Compact"/>
              <w:jc w:val="left"/>
            </w:pPr>
            <w:r>
              <w:t xml:space="preserve">1.5 kgCO2e/kg</w:t>
            </w:r>
          </w:p>
        </w:tc>
        <w:tc>
          <w:tcPr/>
          <w:p>
            <w:pPr>
              <w:pStyle w:val="Compact"/>
              <w:jc w:val="left"/>
            </w:pPr>
            <w:r>
              <w:t xml:space="preserve">0.1500</w:t>
            </w:r>
          </w:p>
        </w:tc>
      </w:tr>
      <w:tr>
        <w:tc>
          <w:tcPr>
            <w:gridSpan w:val="6"/>
          </w:tcPr>
          <w:p>
            <w:pPr>
              <w:pStyle w:val="Compact"/>
              <w:jc w:val="right"/>
            </w:pPr>
            <w:r>
              <w:rPr>
                <w:bCs/>
                <w:b/>
              </w:rPr>
              <w:t xml:space="preserve">Subtotal Material Emissions (kgCO2e)</w:t>
            </w:r>
          </w:p>
        </w:tc>
        <w:tc>
          <w:tcPr/>
          <w:p>
            <w:pPr>
              <w:pStyle w:val="Compact"/>
              <w:jc w:val="left"/>
            </w:pPr>
            <w:r>
              <w:rPr>
                <w:bCs/>
                <w:b/>
              </w:rPr>
              <w:t xml:space="preserve">6.0048</w:t>
            </w:r>
          </w:p>
        </w:tc>
      </w:tr>
    </w:tbl>
    <w:bookmarkEnd w:id="23"/>
    <w:bookmarkStart w:id="24" w:name="energy-inputs-customization-data"/>
    <w:p>
      <w:pPr>
        <w:pStyle w:val="Heading4"/>
      </w:pPr>
      <w:r>
        <w:t xml:space="preserve">2.2.2. Energy Inputs &amp; Customization Data</w:t>
      </w:r>
    </w:p>
    <w:p>
      <w:pPr>
        <w:numPr>
          <w:ilvl w:val="0"/>
          <w:numId w:val="1003"/>
        </w:numPr>
        <w:pStyle w:val="Compact"/>
      </w:pPr>
      <w:r>
        <w:rPr>
          <w:bCs/>
          <w:b/>
        </w:rPr>
        <w:t xml:space="preserve">Production Energy Intensity (kWh/unit):</w:t>
      </w:r>
      <w:r>
        <w:t xml:space="preserve"> </w:t>
      </w:r>
      <w:r>
        <w:t xml:space="preserve">hdvxpynxsn (15 kWh/unit)</w:t>
      </w:r>
    </w:p>
    <w:p>
      <w:pPr>
        <w:numPr>
          <w:ilvl w:val="0"/>
          <w:numId w:val="1003"/>
        </w:numPr>
        <w:pStyle w:val="Compact"/>
      </w:pPr>
      <w:r>
        <w:rPr>
          <w:bCs/>
          <w:b/>
        </w:rPr>
        <w:t xml:space="preserve">Renewable Energy Usage:</w:t>
      </w:r>
      <w:r>
        <w:t xml:space="preserve"> </w:t>
      </w:r>
      <w:r>
        <w:t xml:space="preserve">pdwryqozte (75% of production energy)</w:t>
      </w:r>
    </w:p>
    <w:p>
      <w:pPr>
        <w:numPr>
          <w:ilvl w:val="0"/>
          <w:numId w:val="1003"/>
        </w:numPr>
        <w:pStyle w:val="Compact"/>
      </w:pPr>
      <w:r>
        <w:rPr>
          <w:bCs/>
          <w:b/>
        </w:rPr>
        <w:t xml:space="preserve">Non-Renewable Energy Usage:</w:t>
      </w:r>
      <w:r>
        <w:t xml:space="preserve"> </w:t>
      </w:r>
      <w:r>
        <w:t xml:space="preserve">25% (15 kWh/unit * 0.25 = 3.75 kWh/unit)</w:t>
      </w:r>
    </w:p>
    <w:p>
      <w:pPr>
        <w:numPr>
          <w:ilvl w:val="0"/>
          <w:numId w:val="1003"/>
        </w:numPr>
        <w:pStyle w:val="Compact"/>
      </w:pPr>
      <w:r>
        <w:rPr>
          <w:bCs/>
          <w:b/>
        </w:rPr>
        <w:t xml:space="preserve">Electricity Grid Emission Factor (China):</w:t>
      </w:r>
      <w:r>
        <w:t xml:space="preserve"> </w:t>
      </w:r>
      <w:r>
        <w:t xml:space="preserve">0.6205 kg CO2e/kWh (for 2023 national average).</w:t>
      </w:r>
    </w:p>
    <w:bookmarkEnd w:id="24"/>
    <w:bookmarkStart w:id="25" w:name="logistics-data"/>
    <w:p>
      <w:pPr>
        <w:pStyle w:val="Heading4"/>
      </w:pPr>
      <w:r>
        <w:t xml:space="preserve">2.2.3. Logistics Data</w:t>
      </w:r>
    </w:p>
    <w:p>
      <w:pPr>
        <w:numPr>
          <w:ilvl w:val="0"/>
          <w:numId w:val="1004"/>
        </w:numPr>
        <w:pStyle w:val="Compact"/>
      </w:pPr>
      <w:r>
        <w:rPr>
          <w:bCs/>
          <w:b/>
        </w:rPr>
        <w:t xml:space="preserve">Transport Mode (Main):</w:t>
      </w:r>
      <w:r>
        <w:t xml:space="preserve"> </w:t>
      </w:r>
      <w:r>
        <w:t xml:space="preserve">Select Mode (Road Freight - Heavy Goods Vehicle)</w:t>
      </w:r>
    </w:p>
    <w:p>
      <w:pPr>
        <w:numPr>
          <w:ilvl w:val="0"/>
          <w:numId w:val="1004"/>
        </w:numPr>
        <w:pStyle w:val="Compact"/>
      </w:pPr>
      <w:r>
        <w:rPr>
          <w:bCs/>
          <w:b/>
        </w:rPr>
        <w:t xml:space="preserve">Transport Distance (Main):</w:t>
      </w:r>
      <w:r>
        <w:t xml:space="preserve"> </w:t>
      </w:r>
      <w:r>
        <w:t xml:space="preserve">oqvmijmvtj (1500 km)</w:t>
      </w:r>
    </w:p>
    <w:p>
      <w:pPr>
        <w:numPr>
          <w:ilvl w:val="0"/>
          <w:numId w:val="1004"/>
        </w:numPr>
        <w:pStyle w:val="Compact"/>
      </w:pPr>
      <w:r>
        <w:rPr>
          <w:bCs/>
          <w:b/>
        </w:rPr>
        <w:t xml:space="preserve">Transport Mode (Last-Mile):</w:t>
      </w:r>
      <w:r>
        <w:t xml:space="preserve"> </w:t>
      </w:r>
      <w:r>
        <w:t xml:space="preserve">Delivery Type (Small Parcel Courier - Electric Van)</w:t>
      </w:r>
    </w:p>
    <w:p>
      <w:pPr>
        <w:numPr>
          <w:ilvl w:val="0"/>
          <w:numId w:val="1004"/>
        </w:numPr>
        <w:pStyle w:val="Compact"/>
      </w:pPr>
      <w:r>
        <w:rPr>
          <w:bCs/>
          <w:b/>
        </w:rPr>
        <w:t xml:space="preserve">Emission Factor (Road Freight HGV):</w:t>
      </w:r>
      <w:r>
        <w:t xml:space="preserve"> </w:t>
      </w:r>
      <w:r>
        <w:t xml:space="preserve">0.08 kg CO2e/tkm.</w:t>
      </w:r>
    </w:p>
    <w:p>
      <w:pPr>
        <w:numPr>
          <w:ilvl w:val="0"/>
          <w:numId w:val="1004"/>
        </w:numPr>
        <w:pStyle w:val="Compact"/>
      </w:pPr>
      <w:r>
        <w:rPr>
          <w:bCs/>
          <w:b/>
        </w:rPr>
        <w:t xml:space="preserve">Emission Factor (Last-Mile Electric Van):</w:t>
      </w:r>
      <w:r>
        <w:t xml:space="preserve"> </w:t>
      </w:r>
      <w:r>
        <w:t xml:space="preserve">0.05 kg CO2e/unit (estimated for product weight).</w:t>
      </w:r>
    </w:p>
    <w:p>
      <w:pPr>
        <w:numPr>
          <w:ilvl w:val="0"/>
          <w:numId w:val="1004"/>
        </w:numPr>
        <w:pStyle w:val="Compact"/>
      </w:pPr>
      <w:r>
        <w:rPr>
          <w:bCs/>
          <w:b/>
        </w:rPr>
        <w:t xml:space="preserve">Product Weight for Transport:</w:t>
      </w:r>
      <w:r>
        <w:t xml:space="preserve"> </w:t>
      </w:r>
      <w:r>
        <w:t xml:space="preserve">Sum of BOM quantities = 1.02 kg (0.00102 tonnes).</w:t>
      </w:r>
    </w:p>
    <w:bookmarkEnd w:id="25"/>
    <w:bookmarkStart w:id="26" w:name="use-phase-data"/>
    <w:p>
      <w:pPr>
        <w:pStyle w:val="Heading4"/>
      </w:pPr>
      <w:r>
        <w:t xml:space="preserve">2.2.4. Use Phase Data</w:t>
      </w:r>
    </w:p>
    <w:p>
      <w:pPr>
        <w:numPr>
          <w:ilvl w:val="0"/>
          <w:numId w:val="1005"/>
        </w:numPr>
        <w:pStyle w:val="Compact"/>
      </w:pPr>
      <w:r>
        <w:rPr>
          <w:bCs/>
          <w:b/>
        </w:rPr>
        <w:t xml:space="preserve">Product Lifespan:</w:t>
      </w:r>
      <w:r>
        <w:t xml:space="preserve"> </w:t>
      </w:r>
      <w:r>
        <w:t xml:space="preserve">thrpzrrvhs (5 years)</w:t>
      </w:r>
    </w:p>
    <w:p>
      <w:pPr>
        <w:numPr>
          <w:ilvl w:val="0"/>
          <w:numId w:val="1005"/>
        </w:numPr>
        <w:pStyle w:val="Compact"/>
      </w:pPr>
      <w:r>
        <w:rPr>
          <w:bCs/>
          <w:b/>
        </w:rPr>
        <w:t xml:space="preserve">Energy Consumption in Use:</w:t>
      </w:r>
      <w:r>
        <w:t xml:space="preserve"> </w:t>
      </w:r>
      <w:r>
        <w:t xml:space="preserve">nkmvetqlop (20 kWh/year)</w:t>
      </w:r>
    </w:p>
    <w:p>
      <w:pPr>
        <w:numPr>
          <w:ilvl w:val="0"/>
          <w:numId w:val="1005"/>
        </w:numPr>
        <w:pStyle w:val="Compact"/>
      </w:pPr>
      <w:r>
        <w:rPr>
          <w:bCs/>
          <w:b/>
        </w:rPr>
        <w:t xml:space="preserve">Total Energy Consumption in Use:</w:t>
      </w:r>
      <w:r>
        <w:t xml:space="preserve"> </w:t>
      </w:r>
      <w:r>
        <w:t xml:space="preserve">100 kWh (20 kWh/year * 5 years)</w:t>
      </w:r>
    </w:p>
    <w:p>
      <w:pPr>
        <w:numPr>
          <w:ilvl w:val="0"/>
          <w:numId w:val="1005"/>
        </w:numPr>
        <w:pStyle w:val="Compact"/>
      </w:pPr>
      <w:r>
        <w:rPr>
          <w:bCs/>
          <w:b/>
        </w:rPr>
        <w:t xml:space="preserve">Electricity Grid Emission Factor (Europe - for use phase):</w:t>
      </w:r>
      <w:r>
        <w:t xml:space="preserve"> </w:t>
      </w:r>
      <w:r>
        <w:t xml:space="preserve">0.181 kg CO2e/kWh (for 2024 average).</w:t>
      </w:r>
    </w:p>
    <w:bookmarkEnd w:id="26"/>
    <w:bookmarkStart w:id="27" w:name="end-of-life-eol-scenarios"/>
    <w:p>
      <w:pPr>
        <w:pStyle w:val="Heading4"/>
      </w:pPr>
      <w:r>
        <w:t xml:space="preserve">2.2.5. End-of-Life (EoL) Scenarios</w:t>
      </w:r>
    </w:p>
    <w:p>
      <w:pPr>
        <w:numPr>
          <w:ilvl w:val="0"/>
          <w:numId w:val="1006"/>
        </w:numPr>
        <w:pStyle w:val="Compact"/>
      </w:pPr>
      <w:r>
        <w:rPr>
          <w:bCs/>
          <w:b/>
        </w:rPr>
        <w:t xml:space="preserve">Recyclability Percentage:</w:t>
      </w:r>
      <w:r>
        <w:t xml:space="preserve"> </w:t>
      </w:r>
      <w:r>
        <w:t xml:space="preserve">wzyfzmiwuj (80% of total product mass assumed recyclable)</w:t>
      </w:r>
    </w:p>
    <w:p>
      <w:pPr>
        <w:numPr>
          <w:ilvl w:val="0"/>
          <w:numId w:val="1006"/>
        </w:numPr>
        <w:pStyle w:val="Compact"/>
      </w:pPr>
      <w:r>
        <w:rPr>
          <w:bCs/>
          <w:b/>
        </w:rPr>
        <w:t xml:space="preserve">Circular/Take-back Programs:</w:t>
      </w:r>
      <w:r>
        <w:t xml:space="preserve"> </w:t>
      </w:r>
      <w:r>
        <w:t xml:space="preserve">lruwfpkmmo (Yes, via established regional collection points and a dedicated product return service.)</w:t>
      </w:r>
    </w:p>
    <w:p>
      <w:pPr>
        <w:numPr>
          <w:ilvl w:val="0"/>
          <w:numId w:val="1006"/>
        </w:numPr>
        <w:pStyle w:val="Compact"/>
      </w:pPr>
      <w:r>
        <w:rPr>
          <w:bCs/>
          <w:b/>
        </w:rPr>
        <w:t xml:space="preserve">Landfill Emission Factor (General):</w:t>
      </w:r>
      <w:r>
        <w:t xml:space="preserve"> </w:t>
      </w:r>
      <w:r>
        <w:t xml:space="preserve">0.5 kg CO2e/kg (approx. for mixed waste).</w:t>
      </w:r>
    </w:p>
    <w:p>
      <w:pPr>
        <w:numPr>
          <w:ilvl w:val="0"/>
          <w:numId w:val="1006"/>
        </w:numPr>
        <w:pStyle w:val="Compact"/>
      </w:pPr>
      <w:r>
        <w:rPr>
          <w:bCs/>
          <w:b/>
        </w:rPr>
        <w:t xml:space="preserve">Avoided Emissions from Recycling:</w:t>
      </w:r>
      <w:r>
        <w:t xml:space="preserve"> </w:t>
      </w:r>
      <w:r>
        <w:t xml:space="preserve">Calculated based on material type and standard industry savings.</w:t>
      </w:r>
    </w:p>
    <w:bookmarkEnd w:id="27"/>
    <w:bookmarkEnd w:id="28"/>
    <w:bookmarkStart w:id="29" w:name="X659839d91fd99b9c1312e5baaf931415fce1a8c"/>
    <w:p>
      <w:pPr>
        <w:pStyle w:val="Heading3"/>
      </w:pPr>
      <w:r>
        <w:t xml:space="preserve">2.3. Adherence to GHG Protocol &amp; 2026 LSR Update</w:t>
      </w:r>
    </w:p>
    <w:p>
      <w:pPr>
        <w:pStyle w:val="FirstParagraph"/>
      </w:pPr>
      <w:r>
        <w:t xml:space="preserve">This analysis categorizes emissions into Scope 1, Scope 2, and Scope 3 as defined by the GHG Protocol. Special attention has been paid to the forthcoming 2026 requirements:</w:t>
      </w:r>
    </w:p>
    <w:p>
      <w:pPr>
        <w:numPr>
          <w:ilvl w:val="0"/>
          <w:numId w:val="1007"/>
        </w:numPr>
        <w:pStyle w:val="Compact"/>
      </w:pPr>
      <w:r>
        <w:rPr>
          <w:bCs/>
          <w:b/>
        </w:rPr>
        <w:t xml:space="preserve">Scope 1 (Direct Emissions):</w:t>
      </w:r>
      <w:r>
        <w:t xml:space="preserve"> </w:t>
      </w:r>
      <w:r>
        <w:t xml:space="preserve">Direct GHG emissions from sources owned or controlled by the reporting company. For a PCF, these are typically embedded in the production process and, if not directly quantified by ifhojzfiwx, are covered within Scope 2 for purchased energy or Scope 3 for purchased goods/services.</w:t>
      </w:r>
    </w:p>
    <w:p>
      <w:pPr>
        <w:numPr>
          <w:ilvl w:val="0"/>
          <w:numId w:val="1007"/>
        </w:numPr>
        <w:pStyle w:val="Compact"/>
      </w:pPr>
      <w:r>
        <w:rPr>
          <w:bCs/>
          <w:b/>
        </w:rPr>
        <w:t xml:space="preserve">Scope 2 (Purchased Energy Emissions):</w:t>
      </w:r>
      <w:r>
        <w:t xml:space="preserve"> </w:t>
      </w:r>
      <w:r>
        <w:t xml:space="preserve">Indirect GHG emissions from the generation of purchased electricity consumed by the reporting company. This is applied to the non-renewable portion of production energy.</w:t>
      </w:r>
    </w:p>
    <w:p>
      <w:pPr>
        <w:numPr>
          <w:ilvl w:val="0"/>
          <w:numId w:val="1007"/>
        </w:numPr>
        <w:pStyle w:val="Compact"/>
      </w:pPr>
      <w:r>
        <w:rPr>
          <w:bCs/>
          <w:b/>
        </w:rPr>
        <w:t xml:space="preserve">Scope 3 (Value Chain Emissions):</w:t>
      </w:r>
      <w:r>
        <w:t xml:space="preserve"> </w:t>
      </w:r>
      <w:r>
        <w:t xml:space="preserve">All other indirect emissions that occur in the value chain of the reporting company, both upstream and downstream. This analysis includes all relevant Scope 3 categories:</w:t>
      </w:r>
    </w:p>
    <w:p>
      <w:pPr>
        <w:numPr>
          <w:ilvl w:val="1"/>
          <w:numId w:val="1008"/>
        </w:numPr>
        <w:pStyle w:val="Compact"/>
      </w:pPr>
      <w:r>
        <w:t xml:space="preserve">Category 1: Purchased Goods and Services (Material acquisition and processing).</w:t>
      </w:r>
    </w:p>
    <w:p>
      <w:pPr>
        <w:numPr>
          <w:ilvl w:val="1"/>
          <w:numId w:val="1008"/>
        </w:numPr>
        <w:pStyle w:val="Compact"/>
      </w:pPr>
      <w:r>
        <w:t xml:space="preserve">Category 4: Upstream Transportation and Distribution (Main transport and last-mile delivery of materials and product).</w:t>
      </w:r>
    </w:p>
    <w:p>
      <w:pPr>
        <w:numPr>
          <w:ilvl w:val="1"/>
          <w:numId w:val="1008"/>
        </w:numPr>
        <w:pStyle w:val="Compact"/>
      </w:pPr>
      <w:r>
        <w:t xml:space="preserve">Category 11: Use of Sold Products (Product energy consumption during its lifespan).</w:t>
      </w:r>
    </w:p>
    <w:p>
      <w:pPr>
        <w:numPr>
          <w:ilvl w:val="1"/>
          <w:numId w:val="1008"/>
        </w:numPr>
        <w:pStyle w:val="Compact"/>
      </w:pPr>
      <w:r>
        <w:t xml:space="preserve">Category 12: End-of-Life Treatment of Sold Products (Disposal and recycling impacts).</w:t>
      </w:r>
    </w:p>
    <w:p>
      <w:pPr>
        <w:numPr>
          <w:ilvl w:val="0"/>
          <w:numId w:val="1007"/>
        </w:numPr>
        <w:pStyle w:val="Compact"/>
      </w:pPr>
      <w:r>
        <w:rPr>
          <w:bCs/>
          <w:b/>
        </w:rPr>
        <w:t xml:space="preserve">2026 LSR Update:</w:t>
      </w:r>
      <w:r>
        <w:t xml:space="preserve"> </w:t>
      </w:r>
      <w:r>
        <w:t xml:space="preserve">The Land Sector and Removals (LSR) Standard, effective January 1, 2027, has been acknowledged. For the product</w:t>
      </w:r>
      <w:r>
        <w:t xml:space="preserve"> </w:t>
      </w:r>
      <w:r>
        <w:rPr>
          <w:bCs/>
          <w:b/>
        </w:rPr>
        <w:t xml:space="preserve">lhllvydldv</w:t>
      </w:r>
      <w:r>
        <w:t xml:space="preserve">, composed primarily of industrial materials, direct land-use change emissions or land-based removals are considered negligible unless specific bio-based materials from newly converted land are identified. This report notes that the LSR Standard provides a framework for integrating land management and carbon removal activities. While not a dominant factor for this product\'s material composition, the inclusion of circular programs in End-of-Life considerations aligns with the broader aim of accounting for removals where applicable.</w:t>
      </w:r>
    </w:p>
    <w:p>
      <w:pPr>
        <w:numPr>
          <w:ilvl w:val="0"/>
          <w:numId w:val="1007"/>
        </w:numPr>
        <w:pStyle w:val="Compact"/>
      </w:pPr>
      <w:r>
        <w:rPr>
          <w:bCs/>
          <w:b/>
        </w:rPr>
        <w:t xml:space="preserve">Scope 3 Compliance (95% Coverage):</w:t>
      </w:r>
      <w:r>
        <w:t xml:space="preserve"> </w:t>
      </w:r>
      <w:r>
        <w:t xml:space="preserve">By comprehensively covering material production, all transportation, the entire use phase, and end-of-life scenarios, this PCF analysis ensures robust coverage of Scope 3 emissions, aiming to meet or exceed the proposed 95% coverage requirement for material Scope 3 categories.</w:t>
      </w:r>
    </w:p>
    <w:p>
      <w:r>
        <w:pict>
          <v:rect style="width:0;height:1.5pt" o:hralign="center" o:hrstd="t" o:hr="t"/>
        </w:pict>
      </w:r>
    </w:p>
    <w:bookmarkEnd w:id="29"/>
    <w:bookmarkEnd w:id="30"/>
    <w:bookmarkStart w:id="33" w:name="Xf84db7b216c0515c002796514309ca6ec7d0bf5"/>
    <w:p>
      <w:pPr>
        <w:pStyle w:val="Heading2"/>
      </w:pPr>
      <w:r>
        <w:t xml:space="preserve">3. Product Carbon Footprint Calculation (Step 4)</w:t>
      </w:r>
    </w:p>
    <w:p>
      <w:pPr>
        <w:pStyle w:val="FirstParagraph"/>
      </w:pPr>
      <w:r>
        <w:t xml:space="preserve">The total Product Carbon Footprint (PCF) for one functional unit of</w:t>
      </w:r>
      <w:r>
        <w:t xml:space="preserve"> </w:t>
      </w:r>
      <w:r>
        <w:rPr>
          <w:bCs/>
          <w:b/>
        </w:rPr>
        <w:t xml:space="preserve">lhllvydldv</w:t>
      </w:r>
      <w:r>
        <w:t xml:space="preserve"> </w:t>
      </w:r>
      <w:r>
        <w:t xml:space="preserve">is calculated by summing emissions across all life cycle stages, categorized by GHG Protocol scopes.</w:t>
      </w:r>
    </w:p>
    <w:bookmarkStart w:id="31" w:name="emissions-breakdown-by-life-cycle-stage"/>
    <w:p>
      <w:pPr>
        <w:pStyle w:val="Heading3"/>
      </w:pPr>
      <w:r>
        <w:t xml:space="preserve">3.1. Emissions Breakdown by Life 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 Acquisition &amp; Processing</w:t>
            </w:r>
          </w:p>
        </w:tc>
        <w:tc>
          <w:tcPr/>
          <w:p>
            <w:pPr>
              <w:pStyle w:val="Compact"/>
              <w:jc w:val="left"/>
            </w:pPr>
            <w:r>
              <w:t xml:space="preserve">Scope 3, Category 1</w:t>
            </w:r>
          </w:p>
        </w:tc>
        <w:tc>
          <w:tcPr/>
          <w:p>
            <w:pPr>
              <w:pStyle w:val="Compact"/>
              <w:jc w:val="left"/>
            </w:pPr>
            <w:r>
              <w:t xml:space="preserve">Sum of "Total Carbon" from Detailed BOM: 6.0048 kg CO2e</w:t>
            </w:r>
          </w:p>
        </w:tc>
        <w:tc>
          <w:tcPr/>
          <w:p>
            <w:pPr>
              <w:pStyle w:val="Compact"/>
              <w:jc w:val="left"/>
            </w:pPr>
            <w:r>
              <w:t xml:space="preserve">6.0048</w:t>
            </w:r>
          </w:p>
        </w:tc>
      </w:tr>
      <w:tr>
        <w:tc>
          <w:tcPr/>
          <w:p>
            <w:pPr>
              <w:pStyle w:val="Compact"/>
              <w:jc w:val="left"/>
            </w:pPr>
            <w:r>
              <w:rPr>
                <w:bCs/>
                <w:b/>
              </w:rPr>
              <w:t xml:space="preserve">Production Energy</w:t>
            </w:r>
          </w:p>
        </w:tc>
        <w:tc>
          <w:tcPr/>
          <w:p>
            <w:pPr>
              <w:pStyle w:val="Compact"/>
              <w:jc w:val="left"/>
            </w:pPr>
            <w:r>
              <w:t xml:space="preserve">Scope 2</w:t>
            </w:r>
          </w:p>
        </w:tc>
        <w:tc>
          <w:tcPr/>
          <w:p>
            <w:pPr>
              <w:pStyle w:val="Compact"/>
              <w:jc w:val="left"/>
            </w:pPr>
            <w:r>
              <w:t xml:space="preserve">Non-Renewable Energy (3.75 kWh/unit) * China Grid EF (0.6205 kg CO2e/kWh)</w:t>
            </w:r>
          </w:p>
        </w:tc>
        <w:tc>
          <w:tcPr/>
          <w:p>
            <w:pPr>
              <w:pStyle w:val="Compact"/>
              <w:jc w:val="left"/>
            </w:pPr>
            <w:r>
              <w:t xml:space="preserve">2.3269</w:t>
            </w:r>
          </w:p>
        </w:tc>
      </w:tr>
      <w:tr>
        <w:tc>
          <w:tcPr/>
          <w:p>
            <w:pPr>
              <w:pStyle w:val="Compact"/>
              <w:jc w:val="left"/>
            </w:pPr>
            <w:r>
              <w:rPr>
                <w:bCs/>
                <w:b/>
              </w:rPr>
              <w:t xml:space="preserve">Transportation (Upstream)</w:t>
            </w:r>
          </w:p>
        </w:tc>
        <w:tc>
          <w:tcPr/>
          <w:p>
            <w:pPr>
              <w:pStyle w:val="Compact"/>
              <w:jc w:val="left"/>
            </w:pPr>
            <w:r>
              <w:t xml:space="preserve">Scope 3, Category 4</w:t>
            </w:r>
          </w:p>
        </w:tc>
        <w:tc>
          <w:tcPr/>
          <w:p>
            <w:pPr>
              <w:pStyle w:val="Compact"/>
              <w:jc w:val="left"/>
            </w:pPr>
            <w:r>
              <w:t xml:space="preserve">Main Transport (0.00102 t * 1500 km * 0.08 kgCO2e/tkm) + Last-Mile (0.05 kgCO2e/unit)</w:t>
            </w:r>
          </w:p>
        </w:tc>
        <w:tc>
          <w:tcPr/>
          <w:p>
            <w:pPr>
              <w:pStyle w:val="Compact"/>
              <w:jc w:val="left"/>
            </w:pPr>
            <w:r>
              <w:t xml:space="preserve">0.1724</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Total Energy in Use (100 kWh) * European Grid EF (0.181 kg CO2e/kWh)</w:t>
            </w:r>
          </w:p>
        </w:tc>
        <w:tc>
          <w:tcPr/>
          <w:p>
            <w:pPr>
              <w:pStyle w:val="Compact"/>
              <w:jc w:val="left"/>
            </w:pPr>
            <w:r>
              <w:t xml:space="preserve">18.1000</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Emissions from non-recycled materials (0.102 kg CO2e) - Avoided emissions from recycling (-2.6608 kg CO2e)</w:t>
            </w:r>
          </w:p>
        </w:tc>
        <w:tc>
          <w:tcPr/>
          <w:p>
            <w:pPr>
              <w:pStyle w:val="Compact"/>
              <w:jc w:val="left"/>
            </w:pPr>
            <w:r>
              <w:t xml:space="preserve">-2.5588</w:t>
            </w:r>
          </w:p>
        </w:tc>
      </w:tr>
      <w:tr>
        <w:tc>
          <w:tcPr>
            <w:gridSpan w:val="3"/>
          </w:tcPr>
          <w:p>
            <w:pPr>
              <w:pStyle w:val="Compact"/>
              <w:jc w:val="right"/>
            </w:pPr>
            <w:r>
              <w:rPr>
                <w:bCs/>
                <w:b/>
              </w:rPr>
              <w:t xml:space="preserve">TOTAL PRODUCT CARBON FOOTPRINT (kg CO2e)</w:t>
            </w:r>
          </w:p>
        </w:tc>
        <w:tc>
          <w:tcPr/>
          <w:p>
            <w:pPr>
              <w:pStyle w:val="Compact"/>
              <w:jc w:val="left"/>
            </w:pPr>
            <w:r>
              <w:rPr>
                <w:bCs/>
                <w:b/>
              </w:rPr>
              <w:t xml:space="preserve">24.0453</w:t>
            </w:r>
          </w:p>
        </w:tc>
      </w:tr>
    </w:tbl>
    <w:bookmarkEnd w:id="31"/>
    <w:bookmarkStart w:id="32" w:name="detailed-end-of-life-calculation"/>
    <w:p>
      <w:pPr>
        <w:pStyle w:val="Heading3"/>
      </w:pPr>
      <w:r>
        <w:t xml:space="preserve">3.2. Detailed End-of-Life Calculation</w:t>
      </w:r>
    </w:p>
    <w:p>
      <w:pPr>
        <w:pStyle w:val="FirstParagraph"/>
      </w:pPr>
      <w:r>
        <w:t xml:space="preserve">Given the</w:t>
      </w:r>
      <w:r>
        <w:t xml:space="preserve"> </w:t>
      </w:r>
      <w:r>
        <w:rPr>
          <w:bCs/>
          <w:b/>
        </w:rPr>
        <w:t xml:space="preserve">80% Recyclability Percentage</w:t>
      </w:r>
      <w:r>
        <w:t xml:space="preserve"> </w:t>
      </w:r>
      <w:r>
        <w:t xml:space="preserve">and presence of</w:t>
      </w:r>
      <w:r>
        <w:t xml:space="preserve"> </w:t>
      </w:r>
      <w:r>
        <w:rPr>
          <w:bCs/>
          <w:b/>
        </w:rPr>
        <w:t xml:space="preserve">Circular/Take-back Programs</w:t>
      </w:r>
      <w:r>
        <w:t xml:space="preserve">, the End-of-Life phase shows a net avoided emission, contributing a negative value to the total PCF. This reflects the benefits of keeping materials in circulation.</w:t>
      </w:r>
    </w:p>
    <w:p>
      <w:pPr>
        <w:numPr>
          <w:ilvl w:val="0"/>
          <w:numId w:val="1009"/>
        </w:numPr>
        <w:pStyle w:val="Compact"/>
      </w:pPr>
      <w:r>
        <w:rPr>
          <w:bCs/>
          <w:b/>
        </w:rPr>
        <w:t xml:space="preserve">Total Product Weight (excl. packaging):</w:t>
      </w:r>
      <w:r>
        <w:t xml:space="preserve"> </w:t>
      </w:r>
      <w:r>
        <w:t xml:space="preserve">0.92 kg</w:t>
      </w:r>
    </w:p>
    <w:p>
      <w:pPr>
        <w:numPr>
          <w:ilvl w:val="0"/>
          <w:numId w:val="1009"/>
        </w:numPr>
        <w:pStyle w:val="Compact"/>
      </w:pPr>
      <w:r>
        <w:rPr>
          <w:bCs/>
          <w:b/>
        </w:rPr>
        <w:t xml:space="preserve">Recycled Material Calculation:</w:t>
      </w:r>
    </w:p>
    <w:p>
      <w:pPr>
        <w:numPr>
          <w:ilvl w:val="1"/>
          <w:numId w:val="1010"/>
        </w:numPr>
        <w:pStyle w:val="Compact"/>
      </w:pPr>
      <w:r>
        <w:t xml:space="preserve">Aluminum: 0.5 kg * 80% = 0.4 kg recycled. Avoided Emissions: 0.4 kg * (8.0 kg/kg primary - 1.9 kg/kg recycled) = -2.44 kg CO2e.</w:t>
      </w:r>
    </w:p>
    <w:p>
      <w:pPr>
        <w:numPr>
          <w:ilvl w:val="1"/>
          <w:numId w:val="1010"/>
        </w:numPr>
        <w:pStyle w:val="Compact"/>
      </w:pPr>
      <w:r>
        <w:t xml:space="preserve">ABS Plastic: 0.3 kg * 80% = 0.24 kg recycled. Avoided Emissions (approx. 30% saving on primary EF): 0.24 kg * (-0.77 kg/kg) = -0.1848 kg CO2e.</w:t>
      </w:r>
    </w:p>
    <w:p>
      <w:pPr>
        <w:numPr>
          <w:ilvl w:val="1"/>
          <w:numId w:val="1010"/>
        </w:numPr>
        <w:pStyle w:val="Compact"/>
      </w:pPr>
      <w:r>
        <w:t xml:space="preserve">Cardboard: 0.1 kg * 80% = 0.08 kg recycled. Avoided Emissions (approx. 30% saving on primary EF): 0.08 kg * (-0.45 kg/kg) = -0.036 kg CO2e.</w:t>
      </w:r>
    </w:p>
    <w:p>
      <w:pPr>
        <w:numPr>
          <w:ilvl w:val="1"/>
          <w:numId w:val="1010"/>
        </w:numPr>
        <w:pStyle w:val="Compact"/>
      </w:pPr>
      <w:r>
        <w:rPr>
          <w:bCs/>
          <w:b/>
        </w:rPr>
        <w:t xml:space="preserve">Total Avoided Emissions from Recycling:</w:t>
      </w:r>
      <w:r>
        <w:t xml:space="preserve"> </w:t>
      </w:r>
      <w:r>
        <w:t xml:space="preserve">-2.44 - 0.1848 - 0.036 =</w:t>
      </w:r>
      <w:r>
        <w:t xml:space="preserve"> </w:t>
      </w:r>
      <w:r>
        <w:rPr>
          <w:bCs/>
          <w:b/>
        </w:rPr>
        <w:t xml:space="preserve">-2.6608 kg CO2e</w:t>
      </w:r>
    </w:p>
    <w:p>
      <w:pPr>
        <w:numPr>
          <w:ilvl w:val="0"/>
          <w:numId w:val="1009"/>
        </w:numPr>
        <w:pStyle w:val="Compact"/>
      </w:pPr>
      <w:r>
        <w:rPr>
          <w:bCs/>
          <w:b/>
        </w:rPr>
        <w:t xml:space="preserve">Non-Recycled Portion Emissions:</w:t>
      </w:r>
    </w:p>
    <w:p>
      <w:pPr>
        <w:numPr>
          <w:ilvl w:val="1"/>
          <w:numId w:val="1011"/>
        </w:numPr>
        <w:pStyle w:val="Compact"/>
      </w:pPr>
      <w:r>
        <w:t xml:space="preserve">Total non-recycled product (including 20% of packaging): 0.204 kg (approx. for product and packaging not recycled).</w:t>
      </w:r>
    </w:p>
    <w:p>
      <w:pPr>
        <w:numPr>
          <w:ilvl w:val="1"/>
          <w:numId w:val="1011"/>
        </w:numPr>
        <w:pStyle w:val="Compact"/>
      </w:pPr>
      <w:r>
        <w:t xml:space="preserve">Emissions from non-recycled (assuming landfill disposal): 0.204 kg * 0.5 kg CO2e/kg =</w:t>
      </w:r>
      <w:r>
        <w:t xml:space="preserve"> </w:t>
      </w:r>
      <w:r>
        <w:rPr>
          <w:bCs/>
          <w:b/>
        </w:rPr>
        <w:t xml:space="preserve">0.102 kg CO2e</w:t>
      </w:r>
      <w:r>
        <w:t xml:space="preserve">.</w:t>
      </w:r>
    </w:p>
    <w:p>
      <w:pPr>
        <w:numPr>
          <w:ilvl w:val="0"/>
          <w:numId w:val="1009"/>
        </w:numPr>
        <w:pStyle w:val="Compact"/>
      </w:pPr>
      <w:r>
        <w:rPr>
          <w:bCs/>
          <w:b/>
        </w:rPr>
        <w:t xml:space="preserve">Net End-of-Life Impact:</w:t>
      </w:r>
      <w:r>
        <w:t xml:space="preserve"> </w:t>
      </w:r>
      <w:r>
        <w:t xml:space="preserve">0.102 kg CO2e (emissions) + (-2.6608 kg CO2e) (avoided emissions) =</w:t>
      </w:r>
      <w:r>
        <w:t xml:space="preserve"> </w:t>
      </w:r>
      <w:r>
        <w:rPr>
          <w:bCs/>
          <w:b/>
        </w:rPr>
        <w:t xml:space="preserve">-2.5588 kg CO2e</w:t>
      </w:r>
      <w:r>
        <w:t xml:space="preserve">.</w:t>
      </w:r>
    </w:p>
    <w:p>
      <w:r>
        <w:pict>
          <v:rect style="width:0;height:1.5pt" o:hralign="center" o:hrstd="t" o:hr="t"/>
        </w:pict>
      </w:r>
    </w:p>
    <w:bookmarkEnd w:id="32"/>
    <w:bookmarkEnd w:id="33"/>
    <w:bookmarkStart w:id="36" w:name="review-report-step-5"/>
    <w:p>
      <w:pPr>
        <w:pStyle w:val="Heading2"/>
      </w:pPr>
      <w:r>
        <w:t xml:space="preserve">4. Review &amp; Report (Step 5)</w:t>
      </w:r>
    </w:p>
    <w:bookmarkStart w:id="34" w:name="key-findings-and-hotspots"/>
    <w:p>
      <w:pPr>
        <w:pStyle w:val="Heading3"/>
      </w:pPr>
      <w:r>
        <w:t xml:space="preserve">4.1. Key Findings and Hotspots</w:t>
      </w:r>
    </w:p>
    <w:p>
      <w:pPr>
        <w:pStyle w:val="FirstParagraph"/>
      </w:pPr>
      <w:r>
        <w:t xml:space="preserve">The Product Carbon Footprint for</w:t>
      </w:r>
      <w:r>
        <w:t xml:space="preserve"> </w:t>
      </w:r>
      <w:r>
        <w:rPr>
          <w:bCs/>
          <w:b/>
        </w:rPr>
        <w:t xml:space="preserve">lhllvydldv</w:t>
      </w:r>
      <w:r>
        <w:t xml:space="preserve"> </w:t>
      </w:r>
      <w:r>
        <w:t xml:space="preserve">is predominantly influenced by the following stages:</w:t>
      </w:r>
    </w:p>
    <w:p>
      <w:pPr>
        <w:numPr>
          <w:ilvl w:val="0"/>
          <w:numId w:val="1012"/>
        </w:numPr>
        <w:pStyle w:val="Compact"/>
      </w:pPr>
      <w:r>
        <w:rPr>
          <w:bCs/>
          <w:b/>
        </w:rPr>
        <w:t xml:space="preserve">Use Phase:</w:t>
      </w:r>
      <w:r>
        <w:t xml:space="preserve"> </w:t>
      </w:r>
      <w:r>
        <w:t xml:space="preserve">Representing approximately 75.3% of the total footprint (18.1 kg CO2e), this is the most significant hotspot. This is due to the product\'s lifespan and its energy consumption during operation.</w:t>
      </w:r>
    </w:p>
    <w:p>
      <w:pPr>
        <w:numPr>
          <w:ilvl w:val="0"/>
          <w:numId w:val="1012"/>
        </w:numPr>
        <w:pStyle w:val="Compact"/>
      </w:pPr>
      <w:r>
        <w:rPr>
          <w:bCs/>
          <w:b/>
        </w:rPr>
        <w:t xml:space="preserve">Material Acquisition &amp; Processing:</w:t>
      </w:r>
      <w:r>
        <w:t xml:space="preserve"> </w:t>
      </w:r>
      <w:r>
        <w:t xml:space="preserve">Accounting for approximately 25.0% (6.0048 kg CO2e), the raw materials, particularly aluminum, contribute substantially.</w:t>
      </w:r>
    </w:p>
    <w:p>
      <w:pPr>
        <w:numPr>
          <w:ilvl w:val="0"/>
          <w:numId w:val="1012"/>
        </w:numPr>
        <w:pStyle w:val="Compact"/>
      </w:pPr>
      <w:r>
        <w:rPr>
          <w:bCs/>
          <w:b/>
        </w:rPr>
        <w:t xml:space="preserve">Production Energy:</w:t>
      </w:r>
      <w:r>
        <w:t xml:space="preserve"> </w:t>
      </w:r>
      <w:r>
        <w:t xml:space="preserve">Constituting about 9.7% (2.3269 kg CO2e), despite 75% renewable energy usage, the remaining non-renewable portion impacts the footprint.</w:t>
      </w:r>
    </w:p>
    <w:p>
      <w:pPr>
        <w:numPr>
          <w:ilvl w:val="0"/>
          <w:numId w:val="1012"/>
        </w:numPr>
        <w:pStyle w:val="Compact"/>
      </w:pPr>
      <w:r>
        <w:rPr>
          <w:bCs/>
          <w:b/>
        </w:rPr>
        <w:t xml:space="preserve">End-of-Life Treatment:</w:t>
      </w:r>
      <w:r>
        <w:t xml:space="preserve"> </w:t>
      </w:r>
      <w:r>
        <w:t xml:space="preserve">The strong recyclability and circular programs result in a net negative impact (-2.5588 kg CO2e), indicating a significant environmental benefit and highlighting the effectiveness of circular economy strategies.</w:t>
      </w:r>
    </w:p>
    <w:p>
      <w:pPr>
        <w:numPr>
          <w:ilvl w:val="0"/>
          <w:numId w:val="1012"/>
        </w:numPr>
        <w:pStyle w:val="Compact"/>
      </w:pPr>
      <w:r>
        <w:rPr>
          <w:bCs/>
          <w:b/>
        </w:rPr>
        <w:t xml:space="preserve">Transportation:</w:t>
      </w:r>
      <w:r>
        <w:t xml:space="preserve"> </w:t>
      </w:r>
      <w:r>
        <w:t xml:space="preserve">This stage has a relatively minor impact, representing approximately 0.7% (0.1724 kg CO2e) of the total footprint.</w:t>
      </w:r>
    </w:p>
    <w:bookmarkEnd w:id="34"/>
    <w:bookmarkStart w:id="35" w:name="reliability-and-data-quality"/>
    <w:p>
      <w:pPr>
        <w:pStyle w:val="Heading3"/>
      </w:pPr>
      <w:r>
        <w:t xml:space="preserve">4.2. Reliability and Data Quality</w:t>
      </w:r>
    </w:p>
    <w:p>
      <w:pPr>
        <w:pStyle w:val="FirstParagraph"/>
      </w:pPr>
      <w:r>
        <w:t xml:space="preserve">This report leverages a combination of specific primary data (e.g., product BOM, energy intensity, lifespan) and robust secondary data from recognized industry databases for emission factors (e.g., for electricity grids, material production, and transportation). While all efforts have been made to use the most current and relevant data, some generic emission factors are employed due to the nature of a high-level PCF analysis. Future analyses could benefit from more granular primary data across the entire supply chain to further enhance accuracy, especially for upstream material processes and detailed transport routes.</w:t>
      </w:r>
    </w:p>
    <w:p>
      <w:r>
        <w:pict>
          <v:rect style="width:0;height:1.5pt" o:hralign="center" o:hrstd="t" o:hr="t"/>
        </w:pict>
      </w:r>
    </w:p>
    <w:p>
      <w:pPr>
        <w:pStyle w:val="FirstParagraph"/>
      </w:pPr>
      <w:r>
        <w:t xml:space="preserve">Confidential - Internal Use Only | Page</w:t>
      </w:r>
      <w:r>
        <w:t xml:space="preserve"> </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lhllvydldv</dc:title>
  <dc:creator/>
  <dc:description>High-detail Product Carbon Footprint (PCF) analysis for product lhllvydldv by wgipmrstmi, a Senior Sustainability Consultant for ifhojzfiwx, adhering to GHG Protocol and 2026 LSR Update.</dc:description>
  <dc:language>en</dc:language>
  <cp:keywords/>
  <dcterms:created xsi:type="dcterms:W3CDTF">2026-07-15T03:59:02Z</dcterms:created>
  <dcterms:modified xsi:type="dcterms:W3CDTF">2026-07-15T03:59:02Z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