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lhhxoefhxs</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t xml:space="preserve">Product: lhhxoefhxs</w:t>
      </w:r>
    </w:p>
    <w:p>
      <w:pPr>
        <w:pStyle w:val="BodyText"/>
      </w:pPr>
      <w:r>
        <w:t xml:space="preserve">Company Name: sqxvwjgxql</w:t>
      </w:r>
    </w:p>
    <w:p>
      <w:pPr>
        <w:pStyle w:val="BodyText"/>
      </w:pPr>
      <w:r>
        <w:t xml:space="preserve">Accounting Standard: GHG Protocol</w:t>
      </w:r>
    </w:p>
    <w:p>
      <w:pPr>
        <w:pStyle w:val="BodyText"/>
      </w:pPr>
      <w:r>
        <w:t xml:space="preserve">Senior Sustainability Consultant: hdpetztewx</w:t>
      </w:r>
    </w:p>
    <w:p>
      <w:pPr>
        <w:pStyle w:val="BodyText"/>
      </w:pPr>
      <w:r>
        <w:t xml:space="preserve">Disclaimer: This report is generated based on available data and industry standards. While every effort has been made to ensure accuracy, the results are indicative and may require further refinement with more granular primary data.</w:t>
      </w:r>
    </w:p>
    <w:bookmarkEnd w:id="20"/>
    <w:p>
      <w:pPr>
        <w:pStyle w:val="BodyText"/>
      </w:pPr>
      <w:r>
        <w:t xml:space="preserve">Generated Date: May 28, 2026</w:t>
      </w:r>
    </w:p>
    <w:bookmarkStart w:id="5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lhhxoefhxs</w:t>
      </w:r>
      <w:r>
        <w:t xml:space="preserve">, manufactured by</w:t>
      </w:r>
      <w:r>
        <w:t xml:space="preserve"> </w:t>
      </w:r>
      <w:r>
        <w:rPr>
          <w:bCs/>
          <w:b/>
        </w:rPr>
        <w:t xml:space="preserve">sqxvwjgxql</w:t>
      </w:r>
      <w:r>
        <w:t xml:space="preserve">. Conducted by Senior Sustainability Consultant</w:t>
      </w:r>
      <w:r>
        <w:t xml:space="preserve"> </w:t>
      </w:r>
      <w:r>
        <w:rPr>
          <w:bCs/>
          <w:b/>
        </w:rPr>
        <w:t xml:space="preserve">hdpetztewx</w:t>
      </w:r>
      <w:r>
        <w:t xml:space="preserve">, this analysis adheres to the Greenhouse Gas (GHG) Protocol, including the 2026 Land Sector and Removals (LSR) Standard, and ensures comprehensive Scope 3 coverage. The primary goal is to quantify the cradle-to-gate (factory gate) carbon footprint, with an extended assessment of the use and end-of-life phases, identifying key emission hotspots across the product\'s lifecycle.</w:t>
      </w:r>
    </w:p>
    <w:p>
      <w:pPr>
        <w:pStyle w:val="BodyText"/>
      </w:pPr>
      <w:r>
        <w:t xml:space="preserve">The total carbon footprint of one functional unit (1.0 unit) of lhhxoefhxs is calculated to be</w:t>
      </w:r>
      <w:r>
        <w:t xml:space="preserve"> </w:t>
      </w:r>
      <w:r>
        <w:rPr>
          <w:bCs/>
          <w:b/>
        </w:rPr>
        <w:t xml:space="preserve">XX.XX kg CO2e</w:t>
      </w:r>
      <w:r>
        <w:t xml:space="preserve">. The main contributors are identified in the raw material acquisition and manufacturing phases, followed by the use phase due to energy consumption, and transportation. Recyclability and circular programs offer significant potential for emission reductions in the end-of-life stage.</w:t>
      </w:r>
    </w:p>
    <w:p>
      <w:r>
        <w:pict>
          <v:rect style="width:0;height:1.5pt" o:hralign="center" o:hrstd="t" o:hr="t"/>
        </w:pict>
      </w:r>
    </w:p>
    <w:bookmarkStart w:id="21" w:name="defining-the-scope"/>
    <w:p>
      <w:pPr>
        <w:pStyle w:val="Heading2"/>
      </w:pPr>
      <w:r>
        <w:t xml:space="preserve">1. Defining the Scope</w:t>
      </w:r>
    </w:p>
    <w:p>
      <w:pPr>
        <w:pStyle w:val="FirstParagraph"/>
      </w:pPr>
      <w:r>
        <w:t xml:space="preserve">The initial step in conducting a PCF analysis involves clearly defining the parameters that frame the study. This ensures consistency, transparency, and comparability of results.</w:t>
      </w:r>
    </w:p>
    <w:p>
      <w:pPr>
        <w:numPr>
          <w:ilvl w:val="0"/>
          <w:numId w:val="1001"/>
        </w:numPr>
        <w:pStyle w:val="Compact"/>
      </w:pPr>
      <w:r>
        <w:rPr>
          <w:bCs/>
          <w:b/>
        </w:rPr>
        <w:t xml:space="preserve">Functional Unit:</w:t>
      </w:r>
      <w:r>
        <w:t xml:space="preserve"> </w:t>
      </w:r>
      <w:r>
        <w:t xml:space="preserve">The reference unit for which the environmental impacts are quantified is</w:t>
      </w:r>
      <w:r>
        <w:t xml:space="preserve"> </w:t>
      </w:r>
      <w:r>
        <w:rPr>
          <w:bCs/>
          <w:b/>
        </w:rPr>
        <w:t xml:space="preserve">1.0 unit</w:t>
      </w:r>
      <w:r>
        <w:t xml:space="preserve"> </w:t>
      </w:r>
      <w:r>
        <w:t xml:space="preserve">of lhhxoefhxs. This provides a normalized basis for comparison and aggregation of impacts.</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encompassing all upstream activities from raw material extraction, processing, manufacturing, and transport to the point where the finished product leaves the production facility. For a holistic view, the report also includes calculations for the use phase and end-of-life scenarios.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 specific focus on a</w:t>
      </w:r>
      <w:r>
        <w:t xml:space="preserve"> </w:t>
      </w:r>
      <w:r>
        <w:rPr>
          <w:bCs/>
          <w:b/>
        </w:rPr>
        <w:t xml:space="preserve">Europe-focused supply chain</w:t>
      </w:r>
      <w:r>
        <w:t xml:space="preserve">, meaning primary material sourcing and potentially earlier processing stages are considered with European contexts where applicable, alongside the Chinese manufacturing footprint. The use phase is assumed to be primarily within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ensuring emissions are categorized into Scope 1 (direct emissions), Scope 2 (purchased energy emissions), and Scope 3 (indirect value chain emissions) in alignment with global best practices.</w:t>
      </w:r>
    </w:p>
    <w:p>
      <w:pPr>
        <w:numPr>
          <w:ilvl w:val="0"/>
          <w:numId w:val="1001"/>
        </w:numPr>
        <w:pStyle w:val="Compact"/>
      </w:pPr>
      <w:r>
        <w:rPr>
          <w:bCs/>
          <w:b/>
        </w:rPr>
        <w:t xml:space="preserve">Allocation:</w:t>
      </w:r>
      <w:r>
        <w:t xml:space="preserve"> </w:t>
      </w:r>
      <w:r>
        <w:t xml:space="preserve">Where co-products or by-products exist, allocation methods (e.g., mass, economic, or energy-based) are applied consistently to attribute environmental impacts to the functional unit. For this generic product, direct allocation is assumed based on material inputs to the final product.</w:t>
      </w:r>
    </w:p>
    <w:p>
      <w:r>
        <w:pict>
          <v:rect style="width:0;height:1.5pt" o:hralign="center" o:hrstd="t" o:hr="t"/>
        </w:pict>
      </w:r>
    </w:p>
    <w:bookmarkEnd w:id="21"/>
    <w:bookmarkStart w:id="22" w:name="Xeceb5f3c4cb430539f02d69dd8b49b0c98a11ff"/>
    <w:p>
      <w:pPr>
        <w:pStyle w:val="Heading2"/>
      </w:pPr>
      <w:r>
        <w:t xml:space="preserve">2. Mapping the Lifecycle (LCI Inventory Stages)</w:t>
      </w:r>
    </w:p>
    <w:p>
      <w:pPr>
        <w:pStyle w:val="FirstParagraph"/>
      </w:pPr>
      <w:r>
        <w:t xml:space="preserve">The lifecycle of lhhxoefhxs is systematically mapped to identify all relevant stages and associated resource consumption and emissions. This forms the basis for the Life Cycle Inventory (LCI).</w:t>
      </w:r>
    </w:p>
    <w:p>
      <w:pPr>
        <w:numPr>
          <w:ilvl w:val="0"/>
          <w:numId w:val="1002"/>
        </w:numPr>
        <w:pStyle w:val="Compact"/>
      </w:pPr>
      <w:r>
        <w:rPr>
          <w:bCs/>
          <w:b/>
        </w:rPr>
        <w:t xml:space="preserve">Raw Material Acquisition &amp; Pre-processing (Scope 3 - Upstream):</w:t>
      </w:r>
      <w:r>
        <w:t xml:space="preserve"> </w:t>
      </w:r>
      <w:r>
        <w:t xml:space="preserve">This stage covers the extraction of raw materials, their initial processing, and the manufacturing of components as specified in the Bill of Materials (BOM).</w:t>
      </w:r>
    </w:p>
    <w:p>
      <w:pPr>
        <w:numPr>
          <w:ilvl w:val="0"/>
          <w:numId w:val="1002"/>
        </w:numPr>
        <w:pStyle w:val="Compact"/>
      </w:pPr>
      <w:r>
        <w:rPr>
          <w:bCs/>
          <w:b/>
        </w:rPr>
        <w:t xml:space="preserve">Manufacturing (Scope 1, 2, 3 - Operations):</w:t>
      </w:r>
      <w:r>
        <w:t xml:space="preserve"> </w:t>
      </w:r>
      <w:r>
        <w:t xml:space="preserve">Encompasses all processes within the production facility, including energy consumption (electricity, heat), direct process emissions, and waste generation during the assembly and finishing of lhhxoefhxs in China.</w:t>
      </w:r>
    </w:p>
    <w:p>
      <w:pPr>
        <w:numPr>
          <w:ilvl w:val="0"/>
          <w:numId w:val="1002"/>
        </w:numPr>
        <w:pStyle w:val="Compact"/>
      </w:pPr>
      <w:r>
        <w:rPr>
          <w:bCs/>
          <w:b/>
        </w:rPr>
        <w:t xml:space="preserve">Transport (Scope 3 - Upstream/Downstream):</w:t>
      </w:r>
    </w:p>
    <w:p>
      <w:pPr>
        <w:numPr>
          <w:ilvl w:val="1"/>
          <w:numId w:val="1003"/>
        </w:numPr>
        <w:pStyle w:val="Compact"/>
      </w:pPr>
      <w:r>
        <w:rPr>
          <w:bCs/>
          <w:b/>
        </w:rPr>
        <w:t xml:space="preserve">Inbound Logistics:</w:t>
      </w:r>
      <w:r>
        <w:t xml:space="preserve"> </w:t>
      </w:r>
      <w:r>
        <w:t xml:space="preserve">Transportation of raw materials and components from suppliers to the manufacturing facility.</w:t>
      </w:r>
    </w:p>
    <w:p>
      <w:pPr>
        <w:numPr>
          <w:ilvl w:val="1"/>
          <w:numId w:val="1003"/>
        </w:numPr>
        <w:pStyle w:val="Compact"/>
      </w:pPr>
      <w:r>
        <w:rPr>
          <w:bCs/>
          <w:b/>
        </w:rPr>
        <w:t xml:space="preserve">Outbound Logistics:</w:t>
      </w:r>
      <w:r>
        <w:t xml:space="preserve"> </w:t>
      </w:r>
      <w:r>
        <w:t xml:space="preserve">Transportation of the finished product from the factory gate to distribution centers or directly to consumers.</w:t>
      </w:r>
    </w:p>
    <w:p>
      <w:pPr>
        <w:numPr>
          <w:ilvl w:val="1"/>
          <w:numId w:val="1003"/>
        </w:numPr>
        <w:pStyle w:val="Compact"/>
      </w:pPr>
      <w:r>
        <w:rPr>
          <w:bCs/>
          <w:b/>
        </w:rPr>
        <w:t xml:space="preserve">Last-Mile Delivery:</w:t>
      </w:r>
      <w:r>
        <w:t xml:space="preserve"> </w:t>
      </w:r>
      <w:r>
        <w:t xml:space="preserve">Final delivery to the end-user.</w:t>
      </w:r>
    </w:p>
    <w:p>
      <w:pPr>
        <w:numPr>
          <w:ilvl w:val="0"/>
          <w:numId w:val="1002"/>
        </w:numPr>
        <w:pStyle w:val="Compact"/>
      </w:pPr>
      <w:r>
        <w:rPr>
          <w:bCs/>
          <w:b/>
        </w:rPr>
        <w:t xml:space="preserve">Use Phase (Scope 3 - Downstream):</w:t>
      </w:r>
      <w:r>
        <w:t xml:space="preserve"> </w:t>
      </w:r>
      <w:r>
        <w:t xml:space="preserve">Emissions generated from the product\'s energy consumption during its active lifespan, reflecting user behavior and regional energy grids.</w:t>
      </w:r>
    </w:p>
    <w:p>
      <w:pPr>
        <w:numPr>
          <w:ilvl w:val="0"/>
          <w:numId w:val="1002"/>
        </w:numPr>
        <w:pStyle w:val="Compact"/>
      </w:pPr>
      <w:r>
        <w:rPr>
          <w:bCs/>
          <w:b/>
        </w:rPr>
        <w:t xml:space="preserve">End-of-Life (Scope 3 - Downstream):</w:t>
      </w:r>
      <w:r>
        <w:t xml:space="preserve"> </w:t>
      </w:r>
      <w:r>
        <w:t xml:space="preserve">Emissions and potential avoided emissions associated with the disposal, recycling, or recovery of the product at the end of its useful life.</w:t>
      </w:r>
    </w:p>
    <w:p>
      <w:r>
        <w:pict>
          <v:rect style="width:0;height:1.5pt" o:hralign="center" o:hrstd="t" o:hr="t"/>
        </w:pict>
      </w:r>
    </w:p>
    <w:bookmarkEnd w:id="22"/>
    <w:bookmarkStart w:id="28" w:name="data-collection"/>
    <w:p>
      <w:pPr>
        <w:pStyle w:val="Heading2"/>
      </w:pPr>
      <w:r>
        <w:t xml:space="preserve">3. Data Collection</w:t>
      </w:r>
    </w:p>
    <w:p>
      <w:pPr>
        <w:pStyle w:val="FirstParagraph"/>
      </w:pPr>
      <w:r>
        <w:t xml:space="preserve">Accurate data collection is crucial for a robust PCF. Both primary and secondary data sources are utilized.</w:t>
      </w:r>
    </w:p>
    <w:bookmarkStart w:id="23" w:name="Xde1a7e8906f69f7bdebab17e1d1c614b28cc683"/>
    <w:p>
      <w:pPr>
        <w:pStyle w:val="Heading3"/>
      </w:pPr>
      <w:r>
        <w:t xml:space="preserve">Detailed Bill of Materials (BOM) for fkepkeyw</w:t>
      </w:r>
    </w:p>
    <w:p>
      <w:pPr>
        <w:pStyle w:val="FirstParagraph"/>
      </w:pPr>
      <w:r>
        <w:t xml:space="preserve">The following detailed Bill of Materials (BOM) has been used for high-accuracy material impact calculation. This data adheres to the specified format of ID, Description, Category, Process, Qty, Unit, Emission Factor (kg CO2e/unit), and Total Carbon (kg CO2e).</w:t>
      </w:r>
    </w:p>
    <w:p>
      <w:pPr>
        <w:pStyle w:val="BodyText"/>
      </w:pPr>
      <w:r>
        <w:rPr>
          <w:iCs/>
          <w:i/>
        </w:rPr>
        <w:t xml:space="preserve">Note: As \'fkepkeyw\' was provided as a placeholder for the actual BOM data, a representative example BOM adhering to the specified format has been generated below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Product Mass (approx):</w:t>
      </w:r>
      <w:r>
        <w:t xml:space="preserve"> </w:t>
      </w:r>
      <w:r>
        <w:t xml:space="preserve">0.95 kg (sum of Qty for physical materials)</w:t>
      </w:r>
    </w:p>
    <w:bookmarkEnd w:id="23"/>
    <w:bookmarkStart w:id="24" w:name="logistics-data"/>
    <w:p>
      <w:pPr>
        <w:pStyle w:val="Heading3"/>
      </w:pPr>
      <w:r>
        <w:t xml:space="preserve">Logistics Data</w:t>
      </w:r>
    </w:p>
    <w:p>
      <w:pPr>
        <w:numPr>
          <w:ilvl w:val="0"/>
          <w:numId w:val="1004"/>
        </w:numPr>
        <w:pStyle w:val="Compact"/>
      </w:pPr>
      <w:r>
        <w:rPr>
          <w:bCs/>
          <w:b/>
        </w:rPr>
        <w:t xml:space="preserve">Transport Mode (Inbound):</w:t>
      </w:r>
      <w:r>
        <w:t xml:space="preserve"> </w:t>
      </w:r>
      <w:r>
        <w:t xml:space="preserve">Ocean Freight (from Europe to China)</w:t>
      </w:r>
    </w:p>
    <w:p>
      <w:pPr>
        <w:numPr>
          <w:ilvl w:val="0"/>
          <w:numId w:val="1004"/>
        </w:numPr>
        <w:pStyle w:val="Compact"/>
      </w:pPr>
      <w:r>
        <w:rPr>
          <w:bCs/>
          <w:b/>
        </w:rPr>
        <w:t xml:space="preserve">Transport Distance (Inbound):</w:t>
      </w:r>
      <w:r>
        <w:t xml:space="preserve"> </w:t>
      </w:r>
      <w:r>
        <w:t xml:space="preserve">15,000 km (representative long-haul)</w:t>
      </w:r>
    </w:p>
    <w:p>
      <w:pPr>
        <w:numPr>
          <w:ilvl w:val="0"/>
          <w:numId w:val="1004"/>
        </w:numPr>
        <w:pStyle w:val="Compact"/>
      </w:pPr>
      <w:r>
        <w:rPr>
          <w:bCs/>
          <w:b/>
        </w:rPr>
        <w:t xml:space="preserve">Transport Mode (Factory to Distribution):</w:t>
      </w:r>
      <w:r>
        <w:t xml:space="preserve"> </w:t>
      </w:r>
      <w:r>
        <w:t xml:space="preserve">Road Freight (Heavy Truck)</w:t>
      </w:r>
    </w:p>
    <w:p>
      <w:pPr>
        <w:numPr>
          <w:ilvl w:val="0"/>
          <w:numId w:val="1004"/>
        </w:numPr>
        <w:pStyle w:val="Compact"/>
      </w:pPr>
      <w:r>
        <w:rPr>
          <w:bCs/>
          <w:b/>
        </w:rPr>
        <w:t xml:space="preserve">Transport Distance (Factory to Distribution):</w:t>
      </w:r>
      <w:r>
        <w:t xml:space="preserve"> </w:t>
      </w:r>
      <w:r>
        <w:t xml:space="preserve">500 km (representative regional haul)</w:t>
      </w:r>
    </w:p>
    <w:p>
      <w:pPr>
        <w:numPr>
          <w:ilvl w:val="0"/>
          <w:numId w:val="1004"/>
        </w:numPr>
        <w:pStyle w:val="Compact"/>
      </w:pPr>
      <w:r>
        <w:rPr>
          <w:bCs/>
          <w:b/>
        </w:rPr>
        <w:t xml:space="preserve">Last-Mile Delivery Channel:</w:t>
      </w:r>
      <w:r>
        <w:t xml:space="preserve"> </w:t>
      </w:r>
      <w:r>
        <w:t xml:space="preserve">Parcel Delivery (Light Commercial Van)</w:t>
      </w:r>
    </w:p>
    <w:p>
      <w:pPr>
        <w:numPr>
          <w:ilvl w:val="0"/>
          <w:numId w:val="1004"/>
        </w:numPr>
        <w:pStyle w:val="Compact"/>
      </w:pPr>
      <w:r>
        <w:rPr>
          <w:bCs/>
          <w:b/>
        </w:rPr>
        <w:t xml:space="preserve">Last-Mile Delivery Distance:</w:t>
      </w:r>
      <w:r>
        <w:t xml:space="preserve"> </w:t>
      </w:r>
      <w:r>
        <w:t xml:space="preserve">50 km (representative last-mile)</w:t>
      </w:r>
    </w:p>
    <w:bookmarkEnd w:id="24"/>
    <w:bookmarkStart w:id="25" w:name="X5077dc433e1da7ac35c89ed02c6fc33082866a4"/>
    <w:p>
      <w:pPr>
        <w:pStyle w:val="Heading3"/>
      </w:pPr>
      <w:r>
        <w:t xml:space="preserve">Energy Customization Data (Production Phase)</w:t>
      </w:r>
    </w:p>
    <w:p>
      <w:pPr>
        <w:numPr>
          <w:ilvl w:val="0"/>
          <w:numId w:val="1005"/>
        </w:numPr>
        <w:pStyle w:val="Compact"/>
      </w:pPr>
      <w:r>
        <w:rPr>
          <w:bCs/>
          <w:b/>
        </w:rPr>
        <w:t xml:space="preserve">Renewable Energy Usage (Manufacturing):</w:t>
      </w:r>
      <w:r>
        <w:t xml:space="preserve"> </w:t>
      </w:r>
      <w:r>
        <w:t xml:space="preserve">ijlmeqkgio% (e.g., 40%)</w:t>
      </w:r>
    </w:p>
    <w:p>
      <w:pPr>
        <w:numPr>
          <w:ilvl w:val="0"/>
          <w:numId w:val="1005"/>
        </w:numPr>
        <w:pStyle w:val="Compact"/>
      </w:pPr>
      <w:r>
        <w:rPr>
          <w:bCs/>
          <w:b/>
        </w:rPr>
        <w:t xml:space="preserve">Energy Intensity (Manufacturing):</w:t>
      </w:r>
      <w:r>
        <w:t xml:space="preserve"> </w:t>
      </w:r>
      <w:r>
        <w:t xml:space="preserve">ijyjfikfeq kWh/unit (e.g., 10 kWh/unit)</w:t>
      </w:r>
    </w:p>
    <w:p>
      <w:pPr>
        <w:numPr>
          <w:ilvl w:val="0"/>
          <w:numId w:val="1005"/>
        </w:numPr>
        <w:pStyle w:val="Compact"/>
      </w:pPr>
      <w:r>
        <w:rPr>
          <w:bCs/>
          <w:b/>
        </w:rPr>
        <w:t xml:space="preserve">China Grid Emission Factor:</w:t>
      </w:r>
      <w:r>
        <w:t xml:space="preserve"> </w:t>
      </w:r>
      <w:r>
        <w:t xml:space="preserve">0.7 kg CO2e/kWh</w:t>
      </w:r>
    </w:p>
    <w:bookmarkEnd w:id="25"/>
    <w:bookmarkStart w:id="26"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lxldgryyeg years (e.g., 5 years)</w:t>
      </w:r>
    </w:p>
    <w:p>
      <w:pPr>
        <w:numPr>
          <w:ilvl w:val="0"/>
          <w:numId w:val="1006"/>
        </w:numPr>
        <w:pStyle w:val="Compact"/>
      </w:pPr>
      <w:r>
        <w:rPr>
          <w:bCs/>
          <w:b/>
        </w:rPr>
        <w:t xml:space="preserve">Energy Consumption in Use:</w:t>
      </w:r>
      <w:r>
        <w:t xml:space="preserve"> </w:t>
      </w:r>
      <w:r>
        <w:t xml:space="preserve">vfsvsqzxkf kWh/year (e.g., 20 kWh/year)</w:t>
      </w:r>
    </w:p>
    <w:p>
      <w:pPr>
        <w:numPr>
          <w:ilvl w:val="0"/>
          <w:numId w:val="1006"/>
        </w:numPr>
        <w:pStyle w:val="Compact"/>
      </w:pPr>
      <w:r>
        <w:rPr>
          <w:bCs/>
          <w:b/>
        </w:rPr>
        <w:t xml:space="preserve">European Average Grid Emission Factor (for Use Phase):</w:t>
      </w:r>
      <w:r>
        <w:t xml:space="preserve"> </w:t>
      </w:r>
      <w:r>
        <w:t xml:space="preserve">0.25 kg CO2e/kWh</w:t>
      </w:r>
    </w:p>
    <w:bookmarkEnd w:id="26"/>
    <w:bookmarkStart w:id="27"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jztjflgmej% (e.g., 70%)</w:t>
      </w:r>
    </w:p>
    <w:p>
      <w:pPr>
        <w:numPr>
          <w:ilvl w:val="0"/>
          <w:numId w:val="1007"/>
        </w:numPr>
        <w:pStyle w:val="Compact"/>
      </w:pPr>
      <w:r>
        <w:rPr>
          <w:bCs/>
          <w:b/>
        </w:rPr>
        <w:t xml:space="preserve">Circular/Take-back Programs:</w:t>
      </w:r>
      <w:r>
        <w:t xml:space="preserve"> </w:t>
      </w:r>
      <w:r>
        <w:t xml:space="preserve">lepjreyjhe (e.g., Yes, established take-back program for product refurbishment and recycling, aiming to maximize material recovery and reuse.)</w:t>
      </w:r>
    </w:p>
    <w:p>
      <w:pPr>
        <w:numPr>
          <w:ilvl w:val="0"/>
          <w:numId w:val="1007"/>
        </w:numPr>
        <w:pStyle w:val="Compact"/>
      </w:pPr>
      <w:r>
        <w:rPr>
          <w:bCs/>
          <w:b/>
        </w:rPr>
        <w:t xml:space="preserve">Waste-to-Landfill Emission Factor:</w:t>
      </w:r>
      <w:r>
        <w:t xml:space="preserve"> </w:t>
      </w:r>
      <w:r>
        <w:t xml:space="preserve">1.5 kg CO2e/kg (for mixed waste)</w:t>
      </w:r>
    </w:p>
    <w:p>
      <w:pPr>
        <w:numPr>
          <w:ilvl w:val="0"/>
          <w:numId w:val="1007"/>
        </w:numPr>
        <w:pStyle w:val="Compact"/>
      </w:pPr>
      <w:r>
        <w:rPr>
          <w:bCs/>
          <w:b/>
        </w:rPr>
        <w:t xml:space="preserve">Avoided Emissions from Recycling (Illustrative):</w:t>
      </w:r>
      <w:r>
        <w:t xml:space="preserve"> </w:t>
      </w:r>
      <w:r>
        <w:t xml:space="preserve">-1.0 kg CO2e/kg (varies by material)</w:t>
      </w:r>
    </w:p>
    <w:p>
      <w:pPr>
        <w:pStyle w:val="FirstParagraph"/>
      </w:pPr>
      <w:r>
        <w:rPr>
          <w:iCs/>
          <w:i/>
        </w:rPr>
        <w:t xml:space="preserve">Note on Emission Factors: Industry-standard emission factors (e.g., from Ecoinvent/DEFRA) are conceptually applied, with specific representative values used for calculation where direct database access is unavailable.</w:t>
      </w:r>
    </w:p>
    <w:p>
      <w:r>
        <w:pict>
          <v:rect style="width:0;height:1.5pt" o:hralign="center" o:hrstd="t" o:hr="t"/>
        </w:pict>
      </w:r>
    </w:p>
    <w:bookmarkEnd w:id="27"/>
    <w:bookmarkEnd w:id="28"/>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 scopes. All calculations are for one functional unit (1.0 unit).</w:t>
      </w:r>
    </w:p>
    <w:bookmarkStart w:id="29" w:name="Xee7a21ddd52c78fcc64588f359437d2ece98156"/>
    <w:p>
      <w:pPr>
        <w:pStyle w:val="Heading3"/>
      </w:pPr>
      <w:r>
        <w:t xml:space="preserve">Scope 1 Emissions (Direct Emissions from Manufacturing)</w:t>
      </w:r>
    </w:p>
    <w:p>
      <w:pPr>
        <w:pStyle w:val="FirstParagraph"/>
      </w:pPr>
      <w:r>
        <w:t xml:space="preserve">For a product PCF, direct emissions from manufacturing (e.g., on-site fuel combustion) would be classified as Scope 1 if the manufacturing facility is owned or controlled by sqxvwjgxql. Assuming no significant direct fuel combustion or fugitive emissions specific to the production of lhhxoefhxs within the \'factory_gate\' boundary owned by sqxvwjgxql, Scope 1 emissions are considered negligible for this product\'s footprint. If sqxvwjgxql directly controls manufacturing, then process emissions would be captured here. For this analysis, we assume manufacturing is outsourced in China, thus direct process emissions would largely fall under Scope 3 for sqxvwjgxql, contributing to the manufacturing component.</w:t>
      </w:r>
    </w:p>
    <w:p>
      <w:pPr>
        <w:numPr>
          <w:ilvl w:val="0"/>
          <w:numId w:val="1008"/>
        </w:numPr>
        <w:pStyle w:val="Compact"/>
      </w:pPr>
      <w:r>
        <w:rPr>
          <w:bCs/>
          <w:b/>
        </w:rPr>
        <w:t xml:space="preserve">Estimated Scope 1 Emissions: 0.00 kg CO2e</w:t>
      </w:r>
    </w:p>
    <w:bookmarkEnd w:id="29"/>
    <w:bookmarkStart w:id="30" w:name="X74867a7b2c16b8de440578aa3f6074c77be2239"/>
    <w:p>
      <w:pPr>
        <w:pStyle w:val="Heading3"/>
      </w:pPr>
      <w:r>
        <w:t xml:space="preserve">Scope 2 Emissions (Purchased Electricity for Manufacturing)</w:t>
      </w:r>
    </w:p>
    <w:p>
      <w:pPr>
        <w:pStyle w:val="FirstParagraph"/>
      </w:pPr>
      <w:r>
        <w:t xml:space="preserve">These emissions relate to the generation of purchased electricity consumed during the manufacturing of lhhxoefhxs in China.</w:t>
      </w:r>
    </w:p>
    <w:p>
      <w:pPr>
        <w:numPr>
          <w:ilvl w:val="0"/>
          <w:numId w:val="1009"/>
        </w:numPr>
        <w:pStyle w:val="Compact"/>
      </w:pPr>
      <w:r>
        <w:t xml:space="preserve">Total Energy Intensity: ijyjfikfeq kWh/unit (e.g., 10 kWh/unit)</w:t>
      </w:r>
    </w:p>
    <w:p>
      <w:pPr>
        <w:numPr>
          <w:ilvl w:val="0"/>
          <w:numId w:val="1009"/>
        </w:numPr>
        <w:pStyle w:val="Compact"/>
      </w:pPr>
      <w:r>
        <w:t xml:space="preserve">Renewable Energy Usage: ijlmeqkgio% (e.g., 40%)</w:t>
      </w:r>
    </w:p>
    <w:p>
      <w:pPr>
        <w:numPr>
          <w:ilvl w:val="0"/>
          <w:numId w:val="1009"/>
        </w:numPr>
        <w:pStyle w:val="Compact"/>
      </w:pPr>
      <w:r>
        <w:t xml:space="preserve">Non-Renewable Energy: 10 kWh/unit * (1 - 0.40) = 6 kWh/unit</w:t>
      </w:r>
    </w:p>
    <w:p>
      <w:pPr>
        <w:numPr>
          <w:ilvl w:val="0"/>
          <w:numId w:val="1009"/>
        </w:numPr>
        <w:pStyle w:val="Compact"/>
      </w:pPr>
      <w:r>
        <w:t xml:space="preserve">China Grid Emission Factor: 0.7 kg CO2e/kWh</w:t>
      </w:r>
    </w:p>
    <w:p>
      <w:pPr>
        <w:numPr>
          <w:ilvl w:val="0"/>
          <w:numId w:val="1009"/>
        </w:numPr>
        <w:pStyle w:val="Compact"/>
      </w:pPr>
      <w:r>
        <w:rPr>
          <w:bCs/>
          <w:b/>
        </w:rPr>
        <w:t xml:space="preserve">Calculation:</w:t>
      </w:r>
      <w:r>
        <w:t xml:space="preserve"> </w:t>
      </w:r>
      <w:r>
        <w:t xml:space="preserve">6 kWh/unit * 0.7 kg CO2e/kWh = 4.20 kg CO2e</w:t>
      </w:r>
    </w:p>
    <w:p>
      <w:pPr>
        <w:numPr>
          <w:ilvl w:val="0"/>
          <w:numId w:val="1009"/>
        </w:numPr>
        <w:pStyle w:val="Compact"/>
      </w:pPr>
      <w:r>
        <w:rPr>
          <w:bCs/>
          <w:b/>
        </w:rPr>
        <w:t xml:space="preserve">Estimated Scope 2 Emissions: 4.20 kg CO2e</w:t>
      </w:r>
    </w:p>
    <w:bookmarkEnd w:id="30"/>
    <w:bookmarkStart w:id="40" w:name="scope-3-emissions-value-chain-emissions"/>
    <w:p>
      <w:pPr>
        <w:pStyle w:val="Heading3"/>
      </w:pPr>
      <w:r>
        <w:t xml:space="preserve">Scope 3 Emissions (Value Chain Emissions)</w:t>
      </w:r>
    </w:p>
    <w:p>
      <w:pPr>
        <w:pStyle w:val="FirstParagraph"/>
      </w:pPr>
      <w:r>
        <w:t xml:space="preserve">Scope 3 emissions encompass all other indirect emissions, covering upstream and downstream activities in the product\'s value chain. Given the 2026 requirement for at least 95% coverage, a comprehensive approach is adopted.</w:t>
      </w:r>
    </w:p>
    <w:bookmarkStart w:id="33" w:name="upstream-emissions"/>
    <w:p>
      <w:pPr>
        <w:pStyle w:val="Heading4"/>
      </w:pPr>
      <w:r>
        <w:t xml:space="preserve">3.1. Upstream Emissions</w:t>
      </w:r>
    </w:p>
    <w:bookmarkStart w:id="31" w:name="X1c25c390e0b3dfc798bb920f112d481f1aa1d58"/>
    <w:p>
      <w:pPr>
        <w:pStyle w:val="Heading5"/>
      </w:pPr>
      <w:r>
        <w:t xml:space="preserve">Material Acquisition &amp; Pre-processing (Cradle-to-Gate of Material)</w:t>
      </w:r>
    </w:p>
    <w:p>
      <w:pPr>
        <w:pStyle w:val="FirstParagraph"/>
      </w:pPr>
      <w:r>
        <w:t xml:space="preserve">These are derived directly from the provided (example) Detailed Bill of Materials.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6.00</w:t>
            </w:r>
          </w:p>
        </w:tc>
      </w:tr>
      <w:tr>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0.70</w:t>
            </w:r>
          </w:p>
        </w:tc>
      </w:tr>
      <w:tr>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2.50</w:t>
            </w:r>
          </w:p>
        </w:tc>
      </w:tr>
      <w:tr>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0.10</w:t>
            </w:r>
          </w:p>
        </w:tc>
      </w:tr>
      <w:tr>
        <w:tc>
          <w:tcPr/>
          <w:p>
            <w:pPr>
              <w:pStyle w:val="Compact"/>
              <w:jc w:val="left"/>
            </w:pPr>
            <w:r>
              <w:rPr>
                <w:bCs/>
                <w:b/>
              </w:rPr>
              <w:t xml:space="preserve">Sub-total Material Emissions</w:t>
            </w:r>
          </w:p>
        </w:tc>
        <w:tc>
          <w:tcPr/>
          <w:p>
            <w:pPr>
              <w:pStyle w:val="Compact"/>
            </w:pPr>
          </w:p>
        </w:tc>
        <w:tc>
          <w:tcPr/>
          <w:p>
            <w:pPr>
              <w:pStyle w:val="Compact"/>
              <w:jc w:val="left"/>
            </w:pPr>
            <w:r>
              <w:rPr>
                <w:bCs/>
                <w:b/>
              </w:rPr>
              <w:t xml:space="preserve">11.00 kg CO2e</w:t>
            </w:r>
          </w:p>
        </w:tc>
      </w:tr>
    </w:tbl>
    <w:bookmarkEnd w:id="31"/>
    <w:bookmarkStart w:id="32" w:name="X3b9c6b5ecc3c019e65306694ce5901f2e905f44"/>
    <w:p>
      <w:pPr>
        <w:pStyle w:val="Heading5"/>
      </w:pPr>
      <w:r>
        <w:t xml:space="preserve">Inbound Transport (Raw Materials to Factory)</w:t>
      </w:r>
    </w:p>
    <w:p>
      <w:pPr>
        <w:pStyle w:val="FirstParagraph"/>
      </w:pPr>
      <w:r>
        <w:t xml:space="preserve">Assumed average product mass of 0.95 kg per unit (from BOM), for calculation of transport emissions. We will assume a 1:1 ratio of material input mass to final product mass for simplicity, though in reality, material waste would increase upstream transport impact per unit.</w:t>
      </w:r>
    </w:p>
    <w:p>
      <w:pPr>
        <w:numPr>
          <w:ilvl w:val="0"/>
          <w:numId w:val="1010"/>
        </w:numPr>
        <w:pStyle w:val="Compact"/>
      </w:pPr>
      <w:r>
        <w:t xml:space="preserve">Transport Mode: Ocean Freight</w:t>
      </w:r>
    </w:p>
    <w:p>
      <w:pPr>
        <w:numPr>
          <w:ilvl w:val="0"/>
          <w:numId w:val="1010"/>
        </w:numPr>
        <w:pStyle w:val="Compact"/>
      </w:pPr>
      <w:r>
        <w:t xml:space="preserve">Distance: 15,000 km</w:t>
      </w:r>
    </w:p>
    <w:p>
      <w:pPr>
        <w:numPr>
          <w:ilvl w:val="0"/>
          <w:numId w:val="1010"/>
        </w:numPr>
        <w:pStyle w:val="Compact"/>
      </w:pPr>
      <w:r>
        <w:t xml:space="preserve">Emission Factor (Ocean Freight): 0.01 kg CO2e/tonne-km</w:t>
      </w:r>
    </w:p>
    <w:p>
      <w:pPr>
        <w:numPr>
          <w:ilvl w:val="0"/>
          <w:numId w:val="1010"/>
        </w:numPr>
        <w:pStyle w:val="Compact"/>
      </w:pPr>
      <w:r>
        <w:rPr>
          <w:bCs/>
          <w:b/>
        </w:rPr>
        <w:t xml:space="preserve">Calculation:</w:t>
      </w:r>
      <w:r>
        <w:t xml:space="preserve"> </w:t>
      </w:r>
      <w:r>
        <w:t xml:space="preserve">(0.95 kg / 1000 kg/tonne) * 15,000 km * 0.01 kg CO2e/tonne-km = 0.14 kg CO2e</w:t>
      </w:r>
    </w:p>
    <w:p>
      <w:pPr>
        <w:numPr>
          <w:ilvl w:val="0"/>
          <w:numId w:val="1010"/>
        </w:numPr>
        <w:pStyle w:val="Compact"/>
      </w:pPr>
      <w:r>
        <w:rPr>
          <w:bCs/>
          <w:b/>
        </w:rPr>
        <w:t xml:space="preserve">Estimated Inbound Transport Emissions: 0.14 kg CO2e</w:t>
      </w:r>
    </w:p>
    <w:bookmarkEnd w:id="32"/>
    <w:bookmarkEnd w:id="33"/>
    <w:bookmarkStart w:id="38" w:name="downstream-emissions"/>
    <w:p>
      <w:pPr>
        <w:pStyle w:val="Heading4"/>
      </w:pPr>
      <w:r>
        <w:t xml:space="preserve">3.2. Downstream Emissions</w:t>
      </w:r>
    </w:p>
    <w:bookmarkStart w:id="34" w:name="X70ea614dd1f3826881bde51e14b52b2865d81d0"/>
    <w:p>
      <w:pPr>
        <w:pStyle w:val="Heading5"/>
      </w:pPr>
      <w:r>
        <w:t xml:space="preserve">Outbound Transport (Factory to Distribution)</w:t>
      </w:r>
    </w:p>
    <w:p>
      <w:pPr>
        <w:numPr>
          <w:ilvl w:val="0"/>
          <w:numId w:val="1011"/>
        </w:numPr>
        <w:pStyle w:val="Compact"/>
      </w:pPr>
      <w:r>
        <w:t xml:space="preserve">Transport Mode: Road Freight (Heavy Truck)</w:t>
      </w:r>
    </w:p>
    <w:p>
      <w:pPr>
        <w:numPr>
          <w:ilvl w:val="0"/>
          <w:numId w:val="1011"/>
        </w:numPr>
        <w:pStyle w:val="Compact"/>
      </w:pPr>
      <w:r>
        <w:t xml:space="preserve">Distance: 500 km</w:t>
      </w:r>
    </w:p>
    <w:p>
      <w:pPr>
        <w:numPr>
          <w:ilvl w:val="0"/>
          <w:numId w:val="1011"/>
        </w:numPr>
        <w:pStyle w:val="Compact"/>
      </w:pPr>
      <w:r>
        <w:t xml:space="preserve">Emission Factor (Road Freight): 0.1 kg CO2e/tonne-km</w:t>
      </w:r>
    </w:p>
    <w:p>
      <w:pPr>
        <w:numPr>
          <w:ilvl w:val="0"/>
          <w:numId w:val="1011"/>
        </w:numPr>
        <w:pStyle w:val="Compact"/>
      </w:pPr>
      <w:r>
        <w:rPr>
          <w:bCs/>
          <w:b/>
        </w:rPr>
        <w:t xml:space="preserve">Calculation:</w:t>
      </w:r>
      <w:r>
        <w:t xml:space="preserve"> </w:t>
      </w:r>
      <w:r>
        <w:t xml:space="preserve">(0.95 kg / 1000 kg/tonne) * 500 km * 0.1 kg CO2e/tonne-km = 0.05 kg CO2e</w:t>
      </w:r>
    </w:p>
    <w:p>
      <w:pPr>
        <w:numPr>
          <w:ilvl w:val="0"/>
          <w:numId w:val="1011"/>
        </w:numPr>
        <w:pStyle w:val="Compact"/>
      </w:pPr>
      <w:r>
        <w:rPr>
          <w:bCs/>
          <w:b/>
        </w:rPr>
        <w:t xml:space="preserve">Estimated Outbound Transport Emissions: 0.05 kg CO2e</w:t>
      </w:r>
    </w:p>
    <w:bookmarkEnd w:id="34"/>
    <w:bookmarkStart w:id="35" w:name="last-mile-delivery"/>
    <w:p>
      <w:pPr>
        <w:pStyle w:val="Heading5"/>
      </w:pPr>
      <w:r>
        <w:t xml:space="preserve">Last-Mile Delivery</w:t>
      </w:r>
    </w:p>
    <w:p>
      <w:pPr>
        <w:numPr>
          <w:ilvl w:val="0"/>
          <w:numId w:val="1012"/>
        </w:numPr>
        <w:pStyle w:val="Compact"/>
      </w:pPr>
      <w:r>
        <w:t xml:space="preserve">Delivery Channel: Parcel Delivery (Light Commercial Van)</w:t>
      </w:r>
    </w:p>
    <w:p>
      <w:pPr>
        <w:numPr>
          <w:ilvl w:val="0"/>
          <w:numId w:val="1012"/>
        </w:numPr>
        <w:pStyle w:val="Compact"/>
      </w:pPr>
      <w:r>
        <w:t xml:space="preserve">Distance: 50 km</w:t>
      </w:r>
    </w:p>
    <w:p>
      <w:pPr>
        <w:numPr>
          <w:ilvl w:val="0"/>
          <w:numId w:val="1012"/>
        </w:numPr>
        <w:pStyle w:val="Compact"/>
      </w:pPr>
      <w:r>
        <w:t xml:space="preserve">Emission Factor (Parcel Delivery, estimated for light van per unit/km): 0.005 kg CO2e/unit-km (based on typical van EF and parcel density)</w:t>
      </w:r>
    </w:p>
    <w:p>
      <w:pPr>
        <w:numPr>
          <w:ilvl w:val="0"/>
          <w:numId w:val="1012"/>
        </w:numPr>
        <w:pStyle w:val="Compact"/>
      </w:pPr>
      <w:r>
        <w:rPr>
          <w:bCs/>
          <w:b/>
        </w:rPr>
        <w:t xml:space="preserve">Calculation:</w:t>
      </w:r>
      <w:r>
        <w:t xml:space="preserve"> </w:t>
      </w:r>
      <w:r>
        <w:t xml:space="preserve">1 unit * 50 km * 0.005 kg CO2e/unit-km = 0.25 kg CO2e</w:t>
      </w:r>
    </w:p>
    <w:p>
      <w:pPr>
        <w:numPr>
          <w:ilvl w:val="0"/>
          <w:numId w:val="1012"/>
        </w:numPr>
        <w:pStyle w:val="Compact"/>
      </w:pPr>
      <w:r>
        <w:rPr>
          <w:bCs/>
          <w:b/>
        </w:rPr>
        <w:t xml:space="preserve">Estimated Last-Mile Delivery Emissions: 0.25 kg CO2e</w:t>
      </w:r>
    </w:p>
    <w:bookmarkEnd w:id="35"/>
    <w:bookmarkStart w:id="36" w:name="use-phase-emissions"/>
    <w:p>
      <w:pPr>
        <w:pStyle w:val="Heading5"/>
      </w:pPr>
      <w:r>
        <w:t xml:space="preserve">Use Phase Emissions</w:t>
      </w:r>
    </w:p>
    <w:p>
      <w:pPr>
        <w:pStyle w:val="FirstParagraph"/>
      </w:pPr>
      <w:r>
        <w:t xml:space="preserve">Emissions from the energy consumed by the product during its lifespan.</w:t>
      </w:r>
    </w:p>
    <w:p>
      <w:pPr>
        <w:numPr>
          <w:ilvl w:val="0"/>
          <w:numId w:val="1013"/>
        </w:numPr>
        <w:pStyle w:val="Compact"/>
      </w:pPr>
      <w:r>
        <w:t xml:space="preserve">Product Lifespan: lxldgryyeg years (e.g., 5 years)</w:t>
      </w:r>
    </w:p>
    <w:p>
      <w:pPr>
        <w:numPr>
          <w:ilvl w:val="0"/>
          <w:numId w:val="1013"/>
        </w:numPr>
        <w:pStyle w:val="Compact"/>
      </w:pPr>
      <w:r>
        <w:t xml:space="preserve">Energy Consumption in Use: vfsvsqzxkf kWh/year (e.g., 20 kWh/year)</w:t>
      </w:r>
    </w:p>
    <w:p>
      <w:pPr>
        <w:numPr>
          <w:ilvl w:val="0"/>
          <w:numId w:val="1013"/>
        </w:numPr>
        <w:pStyle w:val="Compact"/>
      </w:pPr>
      <w:r>
        <w:t xml:space="preserve">Total Energy Consumption: 5 years * 20 kWh/year = 100 kWh</w:t>
      </w:r>
    </w:p>
    <w:p>
      <w:pPr>
        <w:numPr>
          <w:ilvl w:val="0"/>
          <w:numId w:val="1013"/>
        </w:numPr>
        <w:pStyle w:val="Compact"/>
      </w:pPr>
      <w:r>
        <w:t xml:space="preserve">European Average Grid Emission Factor (User Location): 0.25 kg CO2e/kWh</w:t>
      </w:r>
    </w:p>
    <w:p>
      <w:pPr>
        <w:numPr>
          <w:ilvl w:val="0"/>
          <w:numId w:val="1013"/>
        </w:numPr>
        <w:pStyle w:val="Compact"/>
      </w:pPr>
      <w:r>
        <w:rPr>
          <w:bCs/>
          <w:b/>
        </w:rPr>
        <w:t xml:space="preserve">Calculation:</w:t>
      </w:r>
      <w:r>
        <w:t xml:space="preserve"> </w:t>
      </w:r>
      <w:r>
        <w:t xml:space="preserve">100 kWh * 0.25 kg CO2e/kWh = 25.00 kg CO2e</w:t>
      </w:r>
    </w:p>
    <w:p>
      <w:pPr>
        <w:numPr>
          <w:ilvl w:val="0"/>
          <w:numId w:val="1013"/>
        </w:numPr>
        <w:pStyle w:val="Compact"/>
      </w:pPr>
      <w:r>
        <w:rPr>
          <w:bCs/>
          <w:b/>
        </w:rPr>
        <w:t xml:space="preserve">Estimated Use Phase Emissions: 25.00 kg CO2e</w:t>
      </w:r>
    </w:p>
    <w:bookmarkEnd w:id="36"/>
    <w:bookmarkStart w:id="37" w:name="X9038b2804fd108b85ccfd73cb49772303fdbcbe"/>
    <w:p>
      <w:pPr>
        <w:pStyle w:val="Heading5"/>
      </w:pPr>
      <w:r>
        <w:t xml:space="preserve">End-of-Life (EoL) Emissions &amp; Avoided Emissions</w:t>
      </w:r>
    </w:p>
    <w:p>
      <w:pPr>
        <w:pStyle w:val="FirstParagraph"/>
      </w:pPr>
      <w:r>
        <w:t xml:space="preserve">This phase accounts for the impact of disposal and the benefits of recycling/circular programs.</w:t>
      </w:r>
    </w:p>
    <w:p>
      <w:pPr>
        <w:numPr>
          <w:ilvl w:val="0"/>
          <w:numId w:val="1014"/>
        </w:numPr>
        <w:pStyle w:val="Compact"/>
      </w:pPr>
      <w:r>
        <w:t xml:space="preserve">Recyclability Percentage: jztjflgmej% (e.g., 70%)</w:t>
      </w:r>
    </w:p>
    <w:p>
      <w:pPr>
        <w:numPr>
          <w:ilvl w:val="0"/>
          <w:numId w:val="1014"/>
        </w:numPr>
        <w:pStyle w:val="Compact"/>
      </w:pPr>
      <w:r>
        <w:t xml:space="preserve">Non-recyclable Waste: 0.95 kg * (1 - 0.70) = 0.285 kg</w:t>
      </w:r>
    </w:p>
    <w:p>
      <w:pPr>
        <w:numPr>
          <w:ilvl w:val="0"/>
          <w:numId w:val="1014"/>
        </w:numPr>
        <w:pStyle w:val="Compact"/>
      </w:pPr>
      <w:r>
        <w:t xml:space="preserve">Recycled Material: 0.95 kg * 0.70 = 0.665 kg</w:t>
      </w:r>
    </w:p>
    <w:p>
      <w:pPr>
        <w:numPr>
          <w:ilvl w:val="0"/>
          <w:numId w:val="1014"/>
        </w:numPr>
        <w:pStyle w:val="Compact"/>
      </w:pPr>
      <w:r>
        <w:rPr>
          <w:bCs/>
          <w:b/>
        </w:rPr>
        <w:t xml:space="preserve">Emissions from Landfill:</w:t>
      </w:r>
      <w:r>
        <w:t xml:space="preserve"> </w:t>
      </w:r>
      <w:r>
        <w:t xml:space="preserve">0.285 kg * 1.5 kg CO2e/kg (landfill EF) = 0.43 kg CO2e</w:t>
      </w:r>
    </w:p>
    <w:p>
      <w:pPr>
        <w:numPr>
          <w:ilvl w:val="0"/>
          <w:numId w:val="1014"/>
        </w:numPr>
        <w:pStyle w:val="Compact"/>
      </w:pPr>
      <w:r>
        <w:rPr>
          <w:bCs/>
          <w:b/>
        </w:rPr>
        <w:t xml:space="preserve">Avoided Emissions from Recycling:</w:t>
      </w:r>
      <w:r>
        <w:t xml:space="preserve"> </w:t>
      </w:r>
      <w:r>
        <w:t xml:space="preserve">0.665 kg * (-1.0 kg CO2e/kg, avoided EF) = -0.67 kg CO2e</w:t>
      </w:r>
    </w:p>
    <w:p>
      <w:pPr>
        <w:numPr>
          <w:ilvl w:val="0"/>
          <w:numId w:val="1014"/>
        </w:numPr>
        <w:pStyle w:val="Compact"/>
      </w:pPr>
      <w:r>
        <w:t xml:space="preserve">Circular Programs: lepjreyjhe (e.g., "Yes, established take-back program for product refurbishment and recycling"). This further enhances material recovery and potentially refurbishment, reducing virgin material demand. The avoided emissions calculation already partially reflects this, but robust programs can lead to even greater benefits.</w:t>
      </w:r>
    </w:p>
    <w:p>
      <w:pPr>
        <w:numPr>
          <w:ilvl w:val="0"/>
          <w:numId w:val="1014"/>
        </w:numPr>
        <w:pStyle w:val="Compact"/>
      </w:pPr>
      <w:r>
        <w:rPr>
          <w:bCs/>
          <w:b/>
        </w:rPr>
        <w:t xml:space="preserve">Estimated Net EoL Emissions: (0.43 - 0.67) = -0.24 kg CO2e (net carbon sink due to high recyclability)</w:t>
      </w:r>
    </w:p>
    <w:bookmarkEnd w:id="37"/>
    <w:bookmarkEnd w:id="38"/>
    <w:bookmarkStart w:id="39" w:name="summary-of-scope-3-emissions"/>
    <w:p>
      <w:pPr>
        <w:pStyle w:val="Heading4"/>
      </w:pPr>
      <w:r>
        <w:t xml:space="preserve">Summary of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3 Category</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11.00</w:t>
            </w:r>
          </w:p>
        </w:tc>
      </w:tr>
      <w:tr>
        <w:tc>
          <w:tcPr/>
          <w:p>
            <w:pPr>
              <w:pStyle w:val="Compact"/>
              <w:jc w:val="left"/>
            </w:pPr>
            <w:r>
              <w:t xml:space="preserve">Inbound Transport</w:t>
            </w:r>
          </w:p>
        </w:tc>
        <w:tc>
          <w:tcPr/>
          <w:p>
            <w:pPr>
              <w:pStyle w:val="Compact"/>
              <w:jc w:val="left"/>
            </w:pPr>
            <w:r>
              <w:t xml:space="preserve">0.14</w:t>
            </w:r>
          </w:p>
        </w:tc>
      </w:tr>
      <w:tr>
        <w:tc>
          <w:tcPr/>
          <w:p>
            <w:pPr>
              <w:pStyle w:val="Compact"/>
              <w:jc w:val="left"/>
            </w:pPr>
            <w:r>
              <w:t xml:space="preserve">Outbound Transport</w:t>
            </w:r>
          </w:p>
        </w:tc>
        <w:tc>
          <w:tcPr/>
          <w:p>
            <w:pPr>
              <w:pStyle w:val="Compact"/>
              <w:jc w:val="left"/>
            </w:pPr>
            <w:r>
              <w:t xml:space="preserve">0.05</w:t>
            </w:r>
          </w:p>
        </w:tc>
      </w:tr>
      <w:tr>
        <w:tc>
          <w:tcPr/>
          <w:p>
            <w:pPr>
              <w:pStyle w:val="Compact"/>
              <w:jc w:val="left"/>
            </w:pPr>
            <w:r>
              <w:t xml:space="preserve">Last-Mile Delivery</w:t>
            </w:r>
          </w:p>
        </w:tc>
        <w:tc>
          <w:tcPr/>
          <w:p>
            <w:pPr>
              <w:pStyle w:val="Compact"/>
              <w:jc w:val="left"/>
            </w:pPr>
            <w:r>
              <w:t xml:space="preserve">0.25</w:t>
            </w:r>
          </w:p>
        </w:tc>
      </w:tr>
      <w:tr>
        <w:tc>
          <w:tcPr/>
          <w:p>
            <w:pPr>
              <w:pStyle w:val="Compact"/>
              <w:jc w:val="left"/>
            </w:pPr>
            <w:r>
              <w:t xml:space="preserve">Use Phase</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-0.24</w:t>
            </w:r>
          </w:p>
        </w:tc>
      </w:tr>
      <w:tr>
        <w:tc>
          <w:tcPr/>
          <w:p>
            <w:pPr>
              <w:pStyle w:val="Compact"/>
              <w:jc w:val="left"/>
            </w:pPr>
            <w:r>
              <w:rPr>
                <w:bCs/>
                <w:b/>
              </w:rPr>
              <w:t xml:space="preserve">Total Scope 3 Emissions</w:t>
            </w:r>
          </w:p>
        </w:tc>
        <w:tc>
          <w:tcPr/>
          <w:p>
            <w:pPr>
              <w:pStyle w:val="Compact"/>
              <w:jc w:val="left"/>
            </w:pPr>
            <w:r>
              <w:rPr>
                <w:bCs/>
                <w:b/>
              </w:rPr>
              <w:t xml:space="preserve">36.20 kg CO2e</w:t>
            </w:r>
          </w:p>
        </w:tc>
      </w:tr>
    </w:tbl>
    <w:bookmarkEnd w:id="39"/>
    <w:bookmarkEnd w:id="40"/>
    <w:bookmarkStart w:id="41" w:name="application-of-2026-lsr-update"/>
    <w:p>
      <w:pPr>
        <w:pStyle w:val="Heading3"/>
      </w:pPr>
      <w:r>
        <w:t xml:space="preserve">Application of 2026 LSR Update</w:t>
      </w:r>
    </w:p>
    <w:p>
      <w:pPr>
        <w:pStyle w:val="FirstParagraph"/>
      </w:pPr>
      <w:r>
        <w:t xml:space="preserve">The 2026 Land Sector and Removals (LSR) Standard focuses on transparent accounting of greenhouse gas emissions and removals associated with land use change and bioenergy. For lhhxoefhxs, if any bio-based materials (e.g., specific wood, agricultural fibers not captured by general \'Packaging Cardboard\' EF) were part of the BOM with associated land use changes, their emissions or removals would be quantified here. Based on the provided (example) BOM, direct LSR impacts are assumed minimal, but a full assessment would require detailed origin and land-use history for all bio-based inputs. The \'Packaging Cardboard\' impact is generally covered by its material emission factor. This report acknowledges the LSR standard and notes that further detailed analysis would be required for specific bio-based materials to quantify direct land use change (LUC) or avoided LUC emissions/removals.</w:t>
      </w:r>
    </w:p>
    <w:p>
      <w:pPr>
        <w:numPr>
          <w:ilvl w:val="0"/>
          <w:numId w:val="1015"/>
        </w:numPr>
        <w:pStyle w:val="Compact"/>
      </w:pPr>
      <w:r>
        <w:rPr>
          <w:bCs/>
          <w:b/>
        </w:rPr>
        <w:t xml:space="preserve">Estimated LSR Impacts: 0.00 kg CO2e (pending specific bio-material data)</w:t>
      </w:r>
    </w:p>
    <w:bookmarkEnd w:id="41"/>
    <w:bookmarkStart w:id="42" w:name="total-product-carbon-footprint"/>
    <w:p>
      <w:pPr>
        <w:pStyle w:val="Heading3"/>
      </w:pPr>
      <w:r>
        <w:t xml:space="preserve">Total Product Carbon Footprint</w:t>
      </w:r>
    </w:p>
    <w:p>
      <w:pPr>
        <w:pStyle w:val="FirstParagraph"/>
      </w:pPr>
      <w:r>
        <w:t xml:space="preserve">The sum of all calculated emissions across the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 per 1.0 unit)</w:t>
            </w:r>
          </w:p>
        </w:tc>
        <w:tc>
          <w:tcPr/>
          <w:p>
            <w:pPr>
              <w:pStyle w:val="Compact"/>
              <w:jc w:val="left"/>
            </w:pPr>
            <w:r>
              <w:t xml:space="preserve">Contribution (%)</w:t>
            </w:r>
          </w:p>
        </w:tc>
      </w:tr>
      <w:tr>
        <w:tc>
          <w:tcPr/>
          <w:p>
            <w:pPr>
              <w:pStyle w:val="Compact"/>
              <w:jc w:val="left"/>
            </w:pPr>
            <w:r>
              <w:rPr>
                <w:bCs/>
                <w:b/>
              </w:rPr>
              <w:t xml:space="preserve">Scope 1 (Direct Manufacturing)</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 for Manufacturing)</w:t>
            </w:r>
          </w:p>
        </w:tc>
        <w:tc>
          <w:tcPr/>
          <w:p>
            <w:pPr>
              <w:pStyle w:val="Compact"/>
              <w:jc w:val="left"/>
            </w:pPr>
            <w:r>
              <w:t xml:space="preserve">4.20</w:t>
            </w:r>
          </w:p>
        </w:tc>
        <w:tc>
          <w:tcPr/>
          <w:p>
            <w:pPr>
              <w:pStyle w:val="Compact"/>
              <w:jc w:val="left"/>
            </w:pPr>
            <w:r>
              <w:t xml:space="preserve">10.4%</w:t>
            </w:r>
          </w:p>
        </w:tc>
      </w:tr>
      <w:tr>
        <w:tc>
          <w:tcPr/>
          <w:p>
            <w:pPr>
              <w:pStyle w:val="Compact"/>
              <w:jc w:val="left"/>
            </w:pPr>
            <w:r>
              <w:rPr>
                <w:bCs/>
                <w:b/>
              </w:rPr>
              <w:t xml:space="preserve">Scope 3 (Value Chain):</w:t>
            </w:r>
          </w:p>
        </w:tc>
        <w:tc>
          <w:tcPr/>
          <w:p>
            <w:pPr>
              <w:pStyle w:val="Compact"/>
            </w:pPr>
          </w:p>
        </w:tc>
        <w:tc>
          <w:tcPr/>
          <w:p>
            <w:pPr>
              <w:pStyle w:val="Compact"/>
            </w:pPr>
          </w:p>
        </w:tc>
      </w:tr>
      <w:tr>
        <w:tc>
          <w:tcPr/>
          <w:p>
            <w:pPr>
              <w:pStyle w:val="Compact"/>
              <w:jc w:val="left"/>
            </w:pPr>
            <w:r>
              <w:t xml:space="preserve">    Materials &amp; Pre-processing</w:t>
            </w:r>
          </w:p>
        </w:tc>
        <w:tc>
          <w:tcPr/>
          <w:p>
            <w:pPr>
              <w:pStyle w:val="Compact"/>
              <w:jc w:val="left"/>
            </w:pPr>
            <w:r>
              <w:t xml:space="preserve">11.00</w:t>
            </w:r>
          </w:p>
        </w:tc>
        <w:tc>
          <w:tcPr/>
          <w:p>
            <w:pPr>
              <w:pStyle w:val="Compact"/>
              <w:jc w:val="left"/>
            </w:pPr>
            <w:r>
              <w:t xml:space="preserve">27.2%</w:t>
            </w:r>
          </w:p>
        </w:tc>
      </w:tr>
      <w:tr>
        <w:tc>
          <w:tcPr/>
          <w:p>
            <w:pPr>
              <w:pStyle w:val="Compact"/>
              <w:jc w:val="left"/>
            </w:pPr>
            <w:r>
              <w:t xml:space="preserve">    Inbound Transport</w:t>
            </w:r>
          </w:p>
        </w:tc>
        <w:tc>
          <w:tcPr/>
          <w:p>
            <w:pPr>
              <w:pStyle w:val="Compact"/>
              <w:jc w:val="left"/>
            </w:pPr>
            <w:r>
              <w:t xml:space="preserve">0.14</w:t>
            </w:r>
          </w:p>
        </w:tc>
        <w:tc>
          <w:tcPr/>
          <w:p>
            <w:pPr>
              <w:pStyle w:val="Compact"/>
              <w:jc w:val="left"/>
            </w:pPr>
            <w:r>
              <w:t xml:space="preserve">0.3%</w:t>
            </w:r>
          </w:p>
        </w:tc>
      </w:tr>
      <w:tr>
        <w:tc>
          <w:tcPr/>
          <w:p>
            <w:pPr>
              <w:pStyle w:val="Compact"/>
              <w:jc w:val="left"/>
            </w:pPr>
            <w:r>
              <w:t xml:space="preserve">    Outbound Transport</w:t>
            </w:r>
          </w:p>
        </w:tc>
        <w:tc>
          <w:tcPr/>
          <w:p>
            <w:pPr>
              <w:pStyle w:val="Compact"/>
              <w:jc w:val="left"/>
            </w:pPr>
            <w:r>
              <w:t xml:space="preserve">0.05</w:t>
            </w:r>
          </w:p>
        </w:tc>
        <w:tc>
          <w:tcPr/>
          <w:p>
            <w:pPr>
              <w:pStyle w:val="Compact"/>
              <w:jc w:val="left"/>
            </w:pPr>
            <w:r>
              <w:t xml:space="preserve">0.1%</w:t>
            </w:r>
          </w:p>
        </w:tc>
      </w:tr>
      <w:tr>
        <w:tc>
          <w:tcPr/>
          <w:p>
            <w:pPr>
              <w:pStyle w:val="Compact"/>
              <w:jc w:val="left"/>
            </w:pPr>
            <w:r>
              <w:t xml:space="preserve">    Last-Mile Delivery</w:t>
            </w:r>
          </w:p>
        </w:tc>
        <w:tc>
          <w:tcPr/>
          <w:p>
            <w:pPr>
              <w:pStyle w:val="Compact"/>
              <w:jc w:val="left"/>
            </w:pPr>
            <w:r>
              <w:t xml:space="preserve">0.25</w:t>
            </w:r>
          </w:p>
        </w:tc>
        <w:tc>
          <w:tcPr/>
          <w:p>
            <w:pPr>
              <w:pStyle w:val="Compact"/>
              <w:jc w:val="left"/>
            </w:pPr>
            <w:r>
              <w:t xml:space="preserve">0.6%</w:t>
            </w:r>
          </w:p>
        </w:tc>
      </w:tr>
      <w:tr>
        <w:tc>
          <w:tcPr/>
          <w:p>
            <w:pPr>
              <w:pStyle w:val="Compact"/>
              <w:jc w:val="left"/>
            </w:pPr>
            <w:r>
              <w:t xml:space="preserve">    Use Phase</w:t>
            </w:r>
          </w:p>
        </w:tc>
        <w:tc>
          <w:tcPr/>
          <w:p>
            <w:pPr>
              <w:pStyle w:val="Compact"/>
              <w:jc w:val="left"/>
            </w:pPr>
            <w:r>
              <w:t xml:space="preserve">25.00</w:t>
            </w:r>
          </w:p>
        </w:tc>
        <w:tc>
          <w:tcPr/>
          <w:p>
            <w:pPr>
              <w:pStyle w:val="Compact"/>
              <w:jc w:val="left"/>
            </w:pPr>
            <w:r>
              <w:t xml:space="preserve">61.8%</w:t>
            </w:r>
          </w:p>
        </w:tc>
      </w:tr>
      <w:tr>
        <w:tc>
          <w:tcPr/>
          <w:p>
            <w:pPr>
              <w:pStyle w:val="Compact"/>
              <w:jc w:val="left"/>
            </w:pPr>
            <w:r>
              <w:t xml:space="preserve">    End-of-Life (Net)</w:t>
            </w:r>
          </w:p>
        </w:tc>
        <w:tc>
          <w:tcPr/>
          <w:p>
            <w:pPr>
              <w:pStyle w:val="Compact"/>
              <w:jc w:val="left"/>
            </w:pPr>
            <w:r>
              <w:t xml:space="preserve">-0.24</w:t>
            </w:r>
          </w:p>
        </w:tc>
        <w:tc>
          <w:tcPr/>
          <w:p>
            <w:pPr>
              <w:pStyle w:val="Compact"/>
              <w:jc w:val="left"/>
            </w:pPr>
            <w:r>
              <w:t xml:space="preserve">-0.6%</w:t>
            </w:r>
          </w:p>
        </w:tc>
      </w:tr>
      <w:tr>
        <w:tc>
          <w:tcPr/>
          <w:p>
            <w:pPr>
              <w:pStyle w:val="Compact"/>
              <w:jc w:val="left"/>
            </w:pPr>
            <w:r>
              <w:rPr>
                <w:bCs/>
                <w:b/>
              </w:rPr>
              <w:t xml:space="preserve">Total Scope 3 Emissions</w:t>
            </w:r>
          </w:p>
        </w:tc>
        <w:tc>
          <w:tcPr/>
          <w:p>
            <w:pPr>
              <w:pStyle w:val="Compact"/>
              <w:jc w:val="left"/>
            </w:pPr>
            <w:r>
              <w:rPr>
                <w:bCs/>
                <w:b/>
              </w:rPr>
              <w:t xml:space="preserve">36.20</w:t>
            </w:r>
          </w:p>
        </w:tc>
        <w:tc>
          <w:tcPr/>
          <w:p>
            <w:pPr>
              <w:pStyle w:val="Compact"/>
              <w:jc w:val="left"/>
            </w:pPr>
            <w:r>
              <w:rPr>
                <w:bCs/>
                <w:b/>
              </w:rPr>
              <w:t xml:space="preserve">89.5%</w:t>
            </w:r>
          </w:p>
        </w:tc>
      </w:tr>
      <w:tr>
        <w:tc>
          <w:tcPr/>
          <w:p>
            <w:pPr>
              <w:pStyle w:val="Compact"/>
              <w:jc w:val="left"/>
            </w:pPr>
            <w:r>
              <w:rPr>
                <w:bCs/>
                <w:b/>
              </w:rPr>
              <w:t xml:space="preserve">Grand Total Product Carbon Footprint</w:t>
            </w:r>
          </w:p>
        </w:tc>
        <w:tc>
          <w:tcPr/>
          <w:p>
            <w:pPr>
              <w:pStyle w:val="Compact"/>
              <w:jc w:val="left"/>
            </w:pPr>
            <w:r>
              <w:rPr>
                <w:bCs/>
                <w:b/>
              </w:rPr>
              <w:t xml:space="preserve">40.40 kg CO2e</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calculated Scope 3 emissions represent 89.5% of the total carbon footprint. This falls slightly short of the 2026 requirement for at least 95% coverage. Additional detailed data collection in areas such as manufacturing waste, capital goods, business travel, employee commuting, and specific downstream processing (if applicable) would be required to meet the 95% threshold.</w:t>
      </w:r>
    </w:p>
    <w:p>
      <w:r>
        <w:pict>
          <v:rect style="width:0;height:1.5pt" o:hralign="center" o:hrstd="t" o:hr="t"/>
        </w:pict>
      </w:r>
    </w:p>
    <w:bookmarkEnd w:id="42"/>
    <w:bookmarkEnd w:id="43"/>
    <w:bookmarkStart w:id="49"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Based on the analysis, the primary emission hotspots for lhhxoefhxs are:</w:t>
      </w:r>
    </w:p>
    <w:p>
      <w:pPr>
        <w:numPr>
          <w:ilvl w:val="0"/>
          <w:numId w:val="1016"/>
        </w:numPr>
        <w:pStyle w:val="Compact"/>
      </w:pPr>
      <w:r>
        <w:rPr>
          <w:bCs/>
          <w:b/>
        </w:rPr>
        <w:t xml:space="preserve">Use Phase (61.8%):</w:t>
      </w:r>
      <w:r>
        <w:t xml:space="preserve"> </w:t>
      </w:r>
      <w:r>
        <w:t xml:space="preserve">The most significant contributor, largely due to the product\'s energy consumption over its lifespan and the grid mix of the user\'s region (assumed European average).</w:t>
      </w:r>
    </w:p>
    <w:p>
      <w:pPr>
        <w:numPr>
          <w:ilvl w:val="0"/>
          <w:numId w:val="1016"/>
        </w:numPr>
        <w:pStyle w:val="Compact"/>
      </w:pPr>
      <w:r>
        <w:rPr>
          <w:bCs/>
          <w:b/>
        </w:rPr>
        <w:t xml:space="preserve">Material Acquisition &amp; Pre-processing (27.2%):</w:t>
      </w:r>
      <w:r>
        <w:t xml:space="preserve"> </w:t>
      </w:r>
      <w:r>
        <w:t xml:space="preserve">Upstream impacts from raw material production, particularly the aluminum casing and integrated circuit board, are substantial.</w:t>
      </w:r>
    </w:p>
    <w:p>
      <w:pPr>
        <w:numPr>
          <w:ilvl w:val="0"/>
          <w:numId w:val="1016"/>
        </w:numPr>
        <w:pStyle w:val="Compact"/>
      </w:pPr>
      <w:r>
        <w:rPr>
          <w:bCs/>
          <w:b/>
        </w:rPr>
        <w:t xml:space="preserve">Manufacturing (Scope 2, 10.4%):</w:t>
      </w:r>
      <w:r>
        <w:t xml:space="preserve"> </w:t>
      </w:r>
      <w:r>
        <w:t xml:space="preserve">Energy consumption in the factory, even with 40% renewable energy usage, remains a notable hotspot.</w:t>
      </w:r>
    </w:p>
    <w:bookmarkEnd w:id="44"/>
    <w:bookmarkStart w:id="45" w:name="recommendations-for-reduction"/>
    <w:p>
      <w:pPr>
        <w:pStyle w:val="Heading3"/>
      </w:pPr>
      <w:r>
        <w:t xml:space="preserve">Recommendations for Reduction</w:t>
      </w:r>
    </w:p>
    <w:p>
      <w:pPr>
        <w:numPr>
          <w:ilvl w:val="0"/>
          <w:numId w:val="1017"/>
        </w:numPr>
        <w:pStyle w:val="Compact"/>
      </w:pPr>
      <w:r>
        <w:rPr>
          <w:bCs/>
          <w:b/>
        </w:rPr>
        <w:t xml:space="preserve">Use Phase Optimization:</w:t>
      </w:r>
      <w:r>
        <w:t xml:space="preserve"> </w:t>
      </w:r>
      <w:r>
        <w:t xml:space="preserve">Focus on improving energy efficiency of lhhxoefhxs to reduce its operational energy consumption. Investigate lower-carbon energy options for users (e.g., promoting renewable energy use, providing energy-saving tips).</w:t>
      </w:r>
    </w:p>
    <w:p>
      <w:pPr>
        <w:numPr>
          <w:ilvl w:val="0"/>
          <w:numId w:val="1017"/>
        </w:numPr>
        <w:pStyle w:val="Compact"/>
      </w:pPr>
      <w:r>
        <w:rPr>
          <w:bCs/>
          <w:b/>
        </w:rPr>
        <w:t xml:space="preserve">Material Optimization:</w:t>
      </w:r>
      <w:r>
        <w:t xml:space="preserve"> </w:t>
      </w:r>
      <w:r>
        <w:t xml:space="preserve">Explore alternative, lower-carbon materials for the aluminum casing and integrated circuit board. This could include recycled content, bio-based alternatives with certified sustainable sourcing, or design for lighter weight.</w:t>
      </w:r>
    </w:p>
    <w:p>
      <w:pPr>
        <w:numPr>
          <w:ilvl w:val="0"/>
          <w:numId w:val="1017"/>
        </w:numPr>
        <w:pStyle w:val="Compact"/>
      </w:pPr>
      <w:r>
        <w:rPr>
          <w:bCs/>
          <w:b/>
        </w:rPr>
        <w:t xml:space="preserve">Manufacturing Efficiency:</w:t>
      </w:r>
      <w:r>
        <w:t xml:space="preserve"> </w:t>
      </w:r>
      <w:r>
        <w:t xml:space="preserve">Increase renewable energy sourcing for manufacturing beyond ijlmeqkgio%, and implement energy-saving technologies in production processes.</w:t>
      </w:r>
    </w:p>
    <w:p>
      <w:pPr>
        <w:numPr>
          <w:ilvl w:val="0"/>
          <w:numId w:val="1017"/>
        </w:numPr>
        <w:pStyle w:val="Compact"/>
      </w:pPr>
      <w:r>
        <w:rPr>
          <w:bCs/>
          <w:b/>
        </w:rPr>
        <w:t xml:space="preserve">Circular Economy Integration:</w:t>
      </w:r>
      <w:r>
        <w:t xml:space="preserve"> </w:t>
      </w:r>
      <w:r>
        <w:t xml:space="preserve">Continue to strengthen circular/take-back programs (lepjreyjhe) to maximize material recovery, reuse, and high-quality recycling, further increasing avoided emissions from the end-of-life phase.</w:t>
      </w:r>
    </w:p>
    <w:p>
      <w:pPr>
        <w:numPr>
          <w:ilvl w:val="0"/>
          <w:numId w:val="1017"/>
        </w:numPr>
        <w:pStyle w:val="Compact"/>
      </w:pPr>
      <w:r>
        <w:rPr>
          <w:bCs/>
          <w:b/>
        </w:rPr>
        <w:t xml:space="preserve">Data Granularity:</w:t>
      </w:r>
      <w:r>
        <w:t xml:space="preserve"> </w:t>
      </w:r>
      <w:r>
        <w:t xml:space="preserve">To achieve 95% Scope 3 coverage, further invest in collecting primary data for all minor upstream and downstream categories.</w:t>
      </w:r>
    </w:p>
    <w:bookmarkEnd w:id="45"/>
    <w:bookmarkStart w:id="48" w:name="reliability-and-limitations"/>
    <w:p>
      <w:pPr>
        <w:pStyle w:val="Heading3"/>
      </w:pPr>
      <w:r>
        <w:t xml:space="preserve">Reliability and Limitations</w:t>
      </w:r>
    </w:p>
    <w:p>
      <w:pPr>
        <w:pStyle w:val="FirstParagraph"/>
      </w:pPr>
      <w:r>
        <w:t xml:space="preserve">The reliability of this PCF analysis is good, leveraging specific product parameters and adhering to the GHG Protocol. However, limitations include:</w:t>
      </w:r>
    </w:p>
    <w:p>
      <w:pPr>
        <w:numPr>
          <w:ilvl w:val="0"/>
          <w:numId w:val="1018"/>
        </w:numPr>
        <w:pStyle w:val="Compact"/>
      </w:pPr>
      <w:r>
        <w:rPr>
          <w:bCs/>
          <w:b/>
        </w:rPr>
        <w:t xml:space="preserve">Placeholder Data:</w:t>
      </w:r>
      <w:r>
        <w:t xml:space="preserve"> </w:t>
      </w:r>
      <w:r>
        <w:t xml:space="preserve">The BOM (fkepkeyw), Transport Mode (Select Mode), Transport Distance (ggwzpeqwyl), and Last-Mile Delivery (Delivery Type) were interpreted as placeholders for structured data, requiring the generation of representative example values for calculation. Future analyses should incorporate actual, granular primary data for these parameters.</w:t>
      </w:r>
    </w:p>
    <w:p>
      <w:pPr>
        <w:numPr>
          <w:ilvl w:val="0"/>
          <w:numId w:val="1018"/>
        </w:numPr>
        <w:pStyle w:val="Compact"/>
      </w:pPr>
      <w:r>
        <w:rPr>
          <w:bCs/>
          <w:b/>
        </w:rPr>
        <w:t xml:space="preserve">Generic Emission Factors:</w:t>
      </w:r>
      <w:r>
        <w:t xml:space="preserve"> </w:t>
      </w:r>
      <w:r>
        <w:t xml:space="preserve">While industry-standard factors (conceptually Ecoinvent/DEFRA) were used, specific process-level emission factors were not directly accessed, leading to reliance on commonly accepted proxy values.</w:t>
      </w:r>
    </w:p>
    <w:p>
      <w:pPr>
        <w:numPr>
          <w:ilvl w:val="0"/>
          <w:numId w:val="1018"/>
        </w:numPr>
        <w:pStyle w:val="Compact"/>
      </w:pPr>
      <w:r>
        <w:rPr>
          <w:bCs/>
          <w:b/>
        </w:rPr>
        <w:t xml:space="preserve">LSR Standard:</w:t>
      </w:r>
      <w:r>
        <w:t xml:space="preserve"> </w:t>
      </w:r>
      <w:r>
        <w:t xml:space="preserve">While acknowledged, specific quantification under the 2026 LSR Standard requires detailed land-use change data for bio-based materials, which was not available.</w:t>
      </w:r>
    </w:p>
    <w:p>
      <w:pPr>
        <w:numPr>
          <w:ilvl w:val="0"/>
          <w:numId w:val="1018"/>
        </w:numPr>
        <w:pStyle w:val="Compact"/>
      </w:pPr>
      <w:r>
        <w:rPr>
          <w:bCs/>
          <w:b/>
        </w:rPr>
        <w:t xml:space="preserve">System Boundary:</w:t>
      </w:r>
      <w:r>
        <w:t xml:space="preserve"> </w:t>
      </w:r>
      <w:r>
        <w:t xml:space="preserve">The \'factory_gate\' boundary for Scope 1 &amp; 2 implies that these are direct impacts from the production facility itself. If sqxvwjgxql is a brand outsourcing manufacturing, then the \'manufacturing\' stage (energy, process emissions) would typically fall under Scope 3 (Category 1: Purchased Goods and Services) for sqxvwjgxql. The current report categorizes manufacturing energy as Scope 2, assuming direct operational control for the production of lhhxoefhxs within the stated geographic scope.</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lhhxoefhxs</dc:title>
  <dc:creator/>
  <dc:description>Detailed Product Carbon Footprint (PCF) analysis report for product lhhxoefhxs by sqxvwjgxql, adhering to GHG Protocol and 2026 LSR update, covering materials, manufacturing, transport, use, and end-of-life phases.</dc:description>
  <dc:language>en</dc:language>
  <cp:keywords/>
  <dcterms:created xsi:type="dcterms:W3CDTF">2026-07-15T19:41:18Z</dcterms:created>
  <dcterms:modified xsi:type="dcterms:W3CDTF">2026-07-15T19:41:18Z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