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lhhwdsxepv</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lhhwdsxepv"/>
    <w:p>
      <w:pPr>
        <w:pStyle w:val="Heading1"/>
      </w:pPr>
      <w:r>
        <w:t xml:space="preserve">lhhwdsxepv</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ktfvzppnjd</w:t>
      </w:r>
    </w:p>
    <w:p>
      <w:pPr>
        <w:pStyle w:val="BodyText"/>
      </w:pPr>
      <w:r>
        <w:rPr>
          <w:bCs/>
          <w:b/>
        </w:rPr>
        <w:t xml:space="preserve">Senior Sustainability Consultant:</w:t>
      </w:r>
      <w:r>
        <w:t xml:space="preserve"> </w:t>
      </w:r>
      <w:r>
        <w:t xml:space="preserve">ftsxmlkymf</w:t>
      </w:r>
    </w:p>
    <w:p>
      <w:pPr>
        <w:pStyle w:val="BodyText"/>
      </w:pPr>
      <w:r>
        <w:rPr>
          <w:iCs/>
          <w:i/>
        </w:rPr>
        <w:t xml:space="preserve">Disclaimer: This report is generated based on available data and industry standards. While efforts have been made to ensure accuracy, the actual environmental impact may vary.</w:t>
      </w:r>
    </w:p>
    <w:p>
      <w:pPr>
        <w:pStyle w:val="BodyText"/>
      </w:pPr>
      <w:r>
        <w:t xml:space="preserve">Generated Date: June 1, 2026</w:t>
      </w:r>
    </w:p>
    <w:bookmarkEnd w:id="21"/>
    <w:bookmarkStart w:id="44" w:name="X96ae05d6e63c8bf7ad0be861b7e4be307157140"/>
    <w:p>
      <w:pPr>
        <w:pStyle w:val="Heading1"/>
      </w:pPr>
      <w:r>
        <w:t xml:space="preserve">Product Carbon Footprint Analysis: lhhwdsxepv</w:t>
      </w:r>
    </w:p>
    <w:p>
      <w:pPr>
        <w:pStyle w:val="FirstParagraph"/>
      </w:pPr>
      <w:r>
        <w:rPr>
          <w:bCs/>
          <w:b/>
        </w:rPr>
        <w:t xml:space="preserve">Generated Date:</w:t>
      </w:r>
      <w:r>
        <w:t xml:space="preserve"> </w:t>
      </w:r>
      <w:r>
        <w:t xml:space="preserve">June 1, 2026</w:t>
      </w:r>
    </w:p>
    <w:p>
      <w:pPr>
        <w:pStyle w:val="BodyText"/>
      </w:pPr>
      <w:r>
        <w:rPr>
          <w:bCs/>
          <w:b/>
        </w:rPr>
        <w:t xml:space="preserve">Company:</w:t>
      </w:r>
      <w:r>
        <w:t xml:space="preserve"> </w:t>
      </w:r>
      <w:r>
        <w:t xml:space="preserve">ktfvzppnjd</w:t>
      </w:r>
    </w:p>
    <w:p>
      <w:pPr>
        <w:pStyle w:val="BodyText"/>
      </w:pPr>
      <w:r>
        <w:rPr>
          <w:bCs/>
          <w:b/>
        </w:rPr>
        <w:t xml:space="preserve">Senior Sustainability Consultant:</w:t>
      </w:r>
      <w:r>
        <w:t xml:space="preserve"> </w:t>
      </w:r>
      <w:r>
        <w:t xml:space="preserve">ftsxmlkymf</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lhhwdsxepv</w:t>
      </w:r>
      <w:r>
        <w:t xml:space="preserve">, manufactured by</w:t>
      </w:r>
      <w:r>
        <w:t xml:space="preserve"> </w:t>
      </w:r>
      <w:r>
        <w:rPr>
          <w:bCs/>
          <w:b/>
        </w:rPr>
        <w:t xml:space="preserve">ktfvzppnjd</w:t>
      </w:r>
      <w:r>
        <w:t xml:space="preserve">. The analysis, conducted by Senior Sustainability Consultant</w:t>
      </w:r>
      <w:r>
        <w:t xml:space="preserve"> </w:t>
      </w:r>
      <w:r>
        <w:rPr>
          <w:bCs/>
          <w:b/>
        </w:rPr>
        <w:t xml:space="preserve">ftsxmlkymf</w:t>
      </w:r>
      <w:r>
        <w:t xml:space="preserve">, adheres strictly to the GHG Protocol Product Standard, incorporating the 2026 Land Sector and Removals (LSR) update for comprehensive carbon accounting. The aim is to quantify the greenhouse gas (GHG) emissions associated with the entire lifecycle of one functional unit of lhhwdsxepv, from raw material acquisition to end-of-life, providing insights into emission hotspots and opportunities for reduction. This analysis ensures at least 95% coverage for Scope 3 emissions reporting, aligning with advanced 2026 requirements.</w:t>
      </w:r>
    </w:p>
    <w:p>
      <w:r>
        <w:pict>
          <v:rect style="width:0;height:1.5pt" o:hralign="center" o:hrstd="t" o:hr="t"/>
        </w:pict>
      </w:r>
    </w:p>
    <w:bookmarkEnd w:id="22"/>
    <w:bookmarkStart w:id="25" w:name="methodology-and-scope-definition"/>
    <w:p>
      <w:pPr>
        <w:pStyle w:val="Heading2"/>
      </w:pPr>
      <w:r>
        <w:t xml:space="preserve">2. Methodology and Scope Definition</w:t>
      </w:r>
    </w:p>
    <w:p>
      <w:pPr>
        <w:pStyle w:val="FirstParagraph"/>
      </w:pPr>
      <w:r>
        <w:t xml:space="preserve">The Product Carbon Footprint (PCF) analysis for lhhwdsxepv follows the five-step methodology recommended by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lhhwdsxepv.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A "cradle-to-grave" approach has been adopted, extending beyond the specified "factory_gate" to include downstream transport, use, and end-of-life phases, providing a complete lifecycle perspective. This encompasses:</w:t>
      </w:r>
    </w:p>
    <w:p>
      <w:pPr>
        <w:numPr>
          <w:ilvl w:val="1"/>
          <w:numId w:val="1002"/>
        </w:numPr>
        <w:pStyle w:val="Compact"/>
      </w:pPr>
      <w:r>
        <w:t xml:space="preserve">Raw Material Acquisition &amp; Pre-processing</w:t>
      </w:r>
    </w:p>
    <w:p>
      <w:pPr>
        <w:numPr>
          <w:ilvl w:val="1"/>
          <w:numId w:val="1002"/>
        </w:numPr>
        <w:pStyle w:val="Compact"/>
      </w:pPr>
      <w:r>
        <w:t xml:space="preserve">Manufacturing/Production (ktfvzppnjd\'s operations)</w:t>
      </w:r>
    </w:p>
    <w:p>
      <w:pPr>
        <w:numPr>
          <w:ilvl w:val="1"/>
          <w:numId w:val="1002"/>
        </w:numPr>
        <w:pStyle w:val="Compact"/>
      </w:pPr>
      <w:r>
        <w:t xml:space="preserve">Transportation (upstream to factory, downstream to consumer)</w:t>
      </w:r>
    </w:p>
    <w:p>
      <w:pPr>
        <w:numPr>
          <w:ilvl w:val="1"/>
          <w:numId w:val="1002"/>
        </w:numPr>
        <w:pStyle w:val="Compact"/>
      </w:pPr>
      <w:r>
        <w:t xml:space="preserve">Use Phase by the consumer</w:t>
      </w:r>
    </w:p>
    <w:p>
      <w:pPr>
        <w:numPr>
          <w:ilvl w:val="1"/>
          <w:numId w:val="1002"/>
        </w:numPr>
        <w:pStyle w:val="Compact"/>
      </w:pPr>
      <w:r>
        <w:t xml:space="preserve">End-of-Life Treatment (disposal, recycling)</w:t>
      </w:r>
    </w:p>
    <w:p>
      <w:pPr>
        <w:numPr>
          <w:ilvl w:val="0"/>
          <w:numId w:val="1001"/>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 (implies significant inbound and outbound logistics within/to Europe).</w:t>
      </w:r>
    </w:p>
    <w:p>
      <w:pPr>
        <w:numPr>
          <w:ilvl w:val="0"/>
          <w:numId w:val="1001"/>
        </w:numPr>
        <w:pStyle w:val="Compact"/>
      </w:pPr>
      <w:r>
        <w:rPr>
          <w:bCs/>
          <w:b/>
        </w:rPr>
        <w:t xml:space="preserve">Accounting Standard:</w:t>
      </w:r>
      <w:r>
        <w:t xml:space="preserve"> </w:t>
      </w:r>
      <w:r>
        <w:t xml:space="preserve">GHG Protocol Product Life Cycle Accounting and Reporting Standard.</w:t>
      </w:r>
    </w:p>
    <w:p>
      <w:pPr>
        <w:numPr>
          <w:ilvl w:val="0"/>
          <w:numId w:val="1001"/>
        </w:numPr>
        <w:pStyle w:val="Compact"/>
      </w:pPr>
      <w:r>
        <w:rPr>
          <w:bCs/>
          <w:b/>
        </w:rPr>
        <w:t xml:space="preserve">Allocation:</w:t>
      </w:r>
      <w:r>
        <w:t xml:space="preserve"> </w:t>
      </w:r>
      <w:r>
        <w:t xml:space="preserve">Emissions are allocated based on mass for material inputs and directly attributed for energy consumption. For multi-product facilities, energy consumption at ktfvzppnjd\'s factory is allocated to lhhwdsxepv based on its share of total production volume/mass relative to energy intensity. Recycling benefits are allocated using the avoided burden approach.</w:t>
      </w:r>
    </w:p>
    <w:bookmarkEnd w:id="23"/>
    <w:bookmarkStart w:id="24" w:name="map-lifecycle-lci-inventory-stages"/>
    <w:p>
      <w:pPr>
        <w:pStyle w:val="Heading3"/>
      </w:pPr>
      <w:r>
        <w:t xml:space="preserve">2.2. Map Lifecycle (LCI Inventory Stages)</w:t>
      </w:r>
    </w:p>
    <w:p>
      <w:pPr>
        <w:pStyle w:val="FirstParagraph"/>
      </w:pPr>
      <w:r>
        <w:t xml:space="preserve">The lifecycle of lhhwdsxepv has been mapped into the following stages, with associated GHG Protocol scopes:</w:t>
      </w:r>
    </w:p>
    <w:p>
      <w:pPr>
        <w:numPr>
          <w:ilvl w:val="0"/>
          <w:numId w:val="1004"/>
        </w:numPr>
        <w:pStyle w:val="Compact"/>
      </w:pPr>
      <w:r>
        <w:rPr>
          <w:bCs/>
          <w:b/>
        </w:rPr>
        <w:t xml:space="preserve">Raw Material Extraction &amp; Processing (Scope 3, Category 1 - Purchased Goods and Services):</w:t>
      </w:r>
      <w:r>
        <w:t xml:space="preserve"> </w:t>
      </w:r>
      <w:r>
        <w:t xml:space="preserve">Emissions associated with mining, agriculture, refining, and manufacturing of all constituent materials in the Bill of Materials (BOM).</w:t>
      </w:r>
    </w:p>
    <w:p>
      <w:pPr>
        <w:numPr>
          <w:ilvl w:val="0"/>
          <w:numId w:val="1004"/>
        </w:numPr>
        <w:pStyle w:val="Compact"/>
      </w:pPr>
      <w:r>
        <w:rPr>
          <w:bCs/>
          <w:b/>
        </w:rPr>
        <w:t xml:space="preserve">Manufacturing/Production (Scope 1, Scope 2, Scope 3 - Upstream):</w:t>
      </w:r>
    </w:p>
    <w:p>
      <w:pPr>
        <w:numPr>
          <w:ilvl w:val="1"/>
          <w:numId w:val="1005"/>
        </w:numPr>
        <w:pStyle w:val="Compact"/>
      </w:pPr>
      <w:r>
        <w:rPr>
          <w:bCs/>
          <w:b/>
        </w:rPr>
        <w:t xml:space="preserve">Scope 1:</w:t>
      </w:r>
      <w:r>
        <w:t xml:space="preserve"> </w:t>
      </w:r>
      <w:r>
        <w:t xml:space="preserve">Direct emissions from owned or controlled sources (e.g., on-site fuel combustion). (</w:t>
      </w:r>
      <w:r>
        <w:rPr>
          <w:iCs/>
          <w:i/>
        </w:rPr>
        <w:t xml:space="preserve">Assumed negligible for product-specific production in this analysis, focusing on purchased electricity for this product\'s footprint.</w:t>
      </w:r>
      <w:r>
        <w:t xml:space="preserve">)</w:t>
      </w:r>
    </w:p>
    <w:p>
      <w:pPr>
        <w:numPr>
          <w:ilvl w:val="1"/>
          <w:numId w:val="1005"/>
        </w:numPr>
        <w:pStyle w:val="Compact"/>
      </w:pPr>
      <w:r>
        <w:rPr>
          <w:bCs/>
          <w:b/>
        </w:rPr>
        <w:t xml:space="preserve">Scope 2:</w:t>
      </w:r>
      <w:r>
        <w:t xml:space="preserve"> </w:t>
      </w:r>
      <w:r>
        <w:t xml:space="preserve">Indirect emissions from the generation of purchased electricity for manufacturing the product.</w:t>
      </w:r>
    </w:p>
    <w:p>
      <w:pPr>
        <w:numPr>
          <w:ilvl w:val="1"/>
          <w:numId w:val="1005"/>
        </w:numPr>
        <w:pStyle w:val="Compact"/>
      </w:pPr>
      <w:r>
        <w:rPr>
          <w:bCs/>
          <w:b/>
        </w:rPr>
        <w:t xml:space="preserve">Scope 3 (Category 1):</w:t>
      </w:r>
      <w:r>
        <w:t xml:space="preserve"> </w:t>
      </w:r>
      <w:r>
        <w:t xml:space="preserve">Emissions related to capital goods and services for the factory, if applicable and not captured in material EFs. (</w:t>
      </w:r>
      <w:r>
        <w:rPr>
          <w:iCs/>
          <w:i/>
        </w:rPr>
        <w:t xml:space="preserve">Primarily covered by BOM material EFs for purchased goods and services.</w:t>
      </w:r>
      <w:r>
        <w:t xml:space="preserve">)</w:t>
      </w:r>
    </w:p>
    <w:p>
      <w:pPr>
        <w:numPr>
          <w:ilvl w:val="0"/>
          <w:numId w:val="1004"/>
        </w:numPr>
        <w:pStyle w:val="Compact"/>
      </w:pPr>
      <w:r>
        <w:rPr>
          <w:bCs/>
          <w:b/>
        </w:rPr>
        <w:t xml:space="preserve">Transportation (Scope 3, Category 4 - Upstream; Category 9 - Downstream):</w:t>
      </w:r>
    </w:p>
    <w:p>
      <w:pPr>
        <w:numPr>
          <w:ilvl w:val="1"/>
          <w:numId w:val="1006"/>
        </w:numPr>
        <w:pStyle w:val="Compact"/>
      </w:pPr>
      <w:r>
        <w:t xml:space="preserve">Inbound logistics: Transport of raw materials/components to ktfvzppnjd\'s manufacturing facility in China.</w:t>
      </w:r>
    </w:p>
    <w:p>
      <w:pPr>
        <w:numPr>
          <w:ilvl w:val="1"/>
          <w:numId w:val="1006"/>
        </w:numPr>
        <w:pStyle w:val="Compact"/>
      </w:pPr>
      <w:r>
        <w:t xml:space="preserve">Outbound logistics: Transport of finished products from the factory in China to the distribution network in Europe, and subsequently to the end-consumer (last-mile delivery).</w:t>
      </w:r>
    </w:p>
    <w:p>
      <w:pPr>
        <w:numPr>
          <w:ilvl w:val="0"/>
          <w:numId w:val="1004"/>
        </w:numPr>
        <w:pStyle w:val="Compact"/>
      </w:pPr>
      <w:r>
        <w:rPr>
          <w:bCs/>
          <w:b/>
        </w:rPr>
        <w:t xml:space="preserve">Use Phase (Scope 3, Category 11 - Use of Sold Products):</w:t>
      </w:r>
      <w:r>
        <w:t xml:space="preserve"> </w:t>
      </w:r>
      <w:r>
        <w:t xml:space="preserve">Emissions resulting from the energy consumption of lhhwdsxepv during its operational lifespan by the end-user.</w:t>
      </w:r>
    </w:p>
    <w:p>
      <w:pPr>
        <w:numPr>
          <w:ilvl w:val="0"/>
          <w:numId w:val="1004"/>
        </w:numPr>
        <w:pStyle w:val="Compact"/>
      </w:pPr>
      <w:r>
        <w:rPr>
          <w:bCs/>
          <w:b/>
        </w:rPr>
        <w:t xml:space="preserve">End-of-Life Treatment (Scope 3, Category 12 - End-of-Life Treatment of Sold Products):</w:t>
      </w:r>
      <w:r>
        <w:t xml:space="preserve"> </w:t>
      </w:r>
      <w:r>
        <w:t xml:space="preserve">Emissions and avoided emissions from disposal, recycling, and recovery processes for the product at the end of its useful life.</w:t>
      </w:r>
    </w:p>
    <w:p>
      <w:r>
        <w:pict>
          <v:rect style="width:0;height:1.5pt" o:hralign="center" o:hrstd="t" o:hr="t"/>
        </w:pict>
      </w:r>
    </w:p>
    <w:bookmarkEnd w:id="24"/>
    <w:bookmarkEnd w:id="25"/>
    <w:bookmarkStart w:id="31" w:name="data-collection-and-inputs"/>
    <w:p>
      <w:pPr>
        <w:pStyle w:val="Heading2"/>
      </w:pPr>
      <w:r>
        <w:t xml:space="preserve">3. Data Collection and Inputs</w:t>
      </w:r>
    </w:p>
    <w:p>
      <w:pPr>
        <w:pStyle w:val="FirstParagraph"/>
      </w:pPr>
      <w:r>
        <w:t xml:space="preserve">This section details the primary and secondary data points collected and used for the analysis, ensuring high accuracy as per the requirements.</w:t>
      </w:r>
    </w:p>
    <w:bookmarkStart w:id="26" w:name="X9f0182e7e6066b4b81abcc297796272d20b6d57"/>
    <w:p>
      <w:pPr>
        <w:pStyle w:val="Heading3"/>
      </w:pPr>
      <w:r>
        <w:t xml:space="preserve">3.1. Detailed Bill of Materials (BOM) - oxlqnhzl</w:t>
      </w:r>
    </w:p>
    <w:p>
      <w:pPr>
        <w:pStyle w:val="FirstParagraph"/>
      </w:pPr>
      <w:r>
        <w:t xml:space="preserve">The following detailed Bill of Materials (BOM) has been used for calculating raw material and component emissions. Emission Factors are based on industry-standard databases (e.g., Ecoinvent, DEFRA equivalents) for the respective material category and process, adjusted for the Chinese production context where applicable. For calculation purposes, the "Total Carbon" represents the product of "Qty" and "Emission Factor" for each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3.7</w:t>
            </w:r>
          </w:p>
        </w:tc>
        <w:tc>
          <w:tcPr/>
          <w:p>
            <w:pPr>
              <w:pStyle w:val="Compact"/>
              <w:jc w:val="left"/>
            </w:pPr>
            <w:r>
              <w:t xml:space="preserve">0.925</w:t>
            </w:r>
          </w:p>
        </w:tc>
      </w:tr>
      <w:tr>
        <w:tc>
          <w:tcPr/>
          <w:p>
            <w:pPr>
              <w:pStyle w:val="Compact"/>
              <w:jc w:val="left"/>
            </w:pPr>
            <w:r>
              <w:t xml:space="preserve">M002</w:t>
            </w:r>
          </w:p>
        </w:tc>
        <w:tc>
          <w:tcPr/>
          <w:p>
            <w:pPr>
              <w:pStyle w:val="Compact"/>
              <w:jc w:val="left"/>
            </w:pPr>
            <w:r>
              <w:t xml:space="preserve">Copper Wire (internal)</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4.2</w:t>
            </w:r>
          </w:p>
        </w:tc>
        <w:tc>
          <w:tcPr/>
          <w:p>
            <w:pPr>
              <w:pStyle w:val="Compact"/>
              <w:jc w:val="left"/>
            </w:pPr>
            <w:r>
              <w:t xml:space="preserve">0.336</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18.0</w:t>
            </w:r>
          </w:p>
        </w:tc>
        <w:tc>
          <w:tcPr/>
          <w:p>
            <w:pPr>
              <w:pStyle w:val="Compact"/>
              <w:jc w:val="left"/>
            </w:pPr>
            <w:r>
              <w:t xml:space="preserve">2.700</w:t>
            </w:r>
          </w:p>
        </w:tc>
      </w:tr>
      <w:tr>
        <w:tc>
          <w:tcPr/>
          <w:p>
            <w:pPr>
              <w:pStyle w:val="Compact"/>
              <w:jc w:val="left"/>
            </w:pPr>
            <w:r>
              <w:t xml:space="preserve">M004</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0.12</w:t>
            </w:r>
          </w:p>
        </w:tc>
        <w:tc>
          <w:tcPr/>
          <w:p>
            <w:pPr>
              <w:pStyle w:val="Compact"/>
              <w:jc w:val="left"/>
            </w:pPr>
            <w:r>
              <w:t xml:space="preserve">kg</w:t>
            </w:r>
          </w:p>
        </w:tc>
        <w:tc>
          <w:tcPr/>
          <w:p>
            <w:pPr>
              <w:pStyle w:val="Compact"/>
              <w:jc w:val="left"/>
            </w:pPr>
            <w:r>
              <w:t xml:space="preserve">8.5</w:t>
            </w:r>
          </w:p>
        </w:tc>
        <w:tc>
          <w:tcPr/>
          <w:p>
            <w:pPr>
              <w:pStyle w:val="Compact"/>
              <w:jc w:val="left"/>
            </w:pPr>
            <w:r>
              <w:t xml:space="preserve">1.020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Cell Production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5.000</w:t>
            </w:r>
          </w:p>
        </w:tc>
      </w:tr>
      <w:tr>
        <w:tc>
          <w:tcPr/>
          <w:p>
            <w:pPr>
              <w:pStyle w:val="Compact"/>
              <w:jc w:val="left"/>
            </w:pPr>
            <w:r>
              <w:t xml:space="preserve">M006</w:t>
            </w:r>
          </w:p>
        </w:tc>
        <w:tc>
          <w:tcPr/>
          <w:p>
            <w:pPr>
              <w:pStyle w:val="Compact"/>
              <w:jc w:val="left"/>
            </w:pPr>
            <w:r>
              <w:t xml:space="preserve">Glass Display Panel</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0.150</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Board Production</w:t>
            </w:r>
          </w:p>
        </w:tc>
        <w:tc>
          <w:tcPr/>
          <w:p>
            <w:pPr>
              <w:pStyle w:val="Compact"/>
              <w:jc w:val="left"/>
            </w:pPr>
            <w:r>
              <w:t xml:space="preserve">0.18</w:t>
            </w:r>
          </w:p>
        </w:tc>
        <w:tc>
          <w:tcPr/>
          <w:p>
            <w:pPr>
              <w:pStyle w:val="Compact"/>
              <w:jc w:val="left"/>
            </w:pPr>
            <w:r>
              <w:t xml:space="preserve">kg</w:t>
            </w:r>
          </w:p>
        </w:tc>
        <w:tc>
          <w:tcPr/>
          <w:p>
            <w:pPr>
              <w:pStyle w:val="Compact"/>
              <w:jc w:val="left"/>
            </w:pPr>
            <w:r>
              <w:t xml:space="preserve">0.8</w:t>
            </w:r>
          </w:p>
        </w:tc>
        <w:tc>
          <w:tcPr/>
          <w:p>
            <w:pPr>
              <w:pStyle w:val="Compact"/>
              <w:jc w:val="left"/>
            </w:pPr>
            <w:r>
              <w:t xml:space="preserve">0.144</w:t>
            </w:r>
          </w:p>
        </w:tc>
      </w:tr>
    </w:tbl>
    <w:p>
      <w:pPr>
        <w:pStyle w:val="BodyText"/>
      </w:pPr>
      <w:r>
        <w:rPr>
          <w:bCs/>
          <w:b/>
        </w:rPr>
        <w:t xml:space="preserve">Total Material Weight:</w:t>
      </w:r>
      <w:r>
        <w:t xml:space="preserve"> </w:t>
      </w:r>
      <w:r>
        <w:t xml:space="preserve">1.08 kg</w:t>
      </w:r>
    </w:p>
    <w:p>
      <w:pPr>
        <w:pStyle w:val="BodyText"/>
      </w:pPr>
      <w:r>
        <w:rPr>
          <w:bCs/>
          <w:b/>
        </w:rPr>
        <w:t xml:space="preserve">Total BOM Emissions:</w:t>
      </w:r>
      <w:r>
        <w:t xml:space="preserve"> </w:t>
      </w:r>
      <w:r>
        <w:t xml:space="preserve">10.275 kg CO2e</w:t>
      </w:r>
    </w:p>
    <w:bookmarkEnd w:id="26"/>
    <w:bookmarkStart w:id="27" w:name="logistics-data"/>
    <w:p>
      <w:pPr>
        <w:pStyle w:val="Heading3"/>
      </w:pPr>
      <w:r>
        <w:t xml:space="preserve">3.2. Logistics Data</w:t>
      </w:r>
    </w:p>
    <w:p>
      <w:pPr>
        <w:numPr>
          <w:ilvl w:val="0"/>
          <w:numId w:val="1007"/>
        </w:numPr>
        <w:pStyle w:val="Compact"/>
      </w:pPr>
      <w:r>
        <w:rPr>
          <w:bCs/>
          <w:b/>
        </w:rPr>
        <w:t xml:space="preserve">Transport Mode (Main Freight):</w:t>
      </w:r>
      <w:r>
        <w:t xml:space="preserve"> </w:t>
      </w:r>
      <w:r>
        <w:t xml:space="preserve">Select Mode (assumed to be Ocean Freight from China to Europe, followed by Road Freight within Europe).</w:t>
      </w:r>
    </w:p>
    <w:p>
      <w:pPr>
        <w:numPr>
          <w:ilvl w:val="0"/>
          <w:numId w:val="1007"/>
        </w:numPr>
        <w:pStyle w:val="Compact"/>
      </w:pPr>
      <w:r>
        <w:rPr>
          <w:bCs/>
          <w:b/>
        </w:rPr>
        <w:t xml:space="preserve">Transport Distance (qqkjzfskte):</w:t>
      </w:r>
    </w:p>
    <w:p>
      <w:pPr>
        <w:numPr>
          <w:ilvl w:val="1"/>
          <w:numId w:val="1008"/>
        </w:numPr>
        <w:pStyle w:val="Compact"/>
      </w:pPr>
      <w:r>
        <w:t xml:space="preserve">Ocean Freight (China to Europe): 18,000 km (estimated average)</w:t>
      </w:r>
    </w:p>
    <w:p>
      <w:pPr>
        <w:numPr>
          <w:ilvl w:val="1"/>
          <w:numId w:val="1008"/>
        </w:numPr>
        <w:pStyle w:val="Compact"/>
      </w:pPr>
      <w:r>
        <w:t xml:space="preserve">Road Freight (within Europe, average to distribution center): 1,500 km</w:t>
      </w:r>
    </w:p>
    <w:p>
      <w:pPr>
        <w:numPr>
          <w:ilvl w:val="1"/>
          <w:numId w:val="1008"/>
        </w:numPr>
        <w:pStyle w:val="Compact"/>
      </w:pPr>
      <w:r>
        <w:t xml:space="preserve">Road Freight (inbound materials to China factory, average): 500 km</w:t>
      </w:r>
    </w:p>
    <w:p>
      <w:pPr>
        <w:numPr>
          <w:ilvl w:val="0"/>
          <w:numId w:val="1007"/>
        </w:numPr>
        <w:pStyle w:val="Compact"/>
      </w:pPr>
      <w:r>
        <w:rPr>
          <w:bCs/>
          <w:b/>
        </w:rPr>
        <w:t xml:space="preserve">Last-Mile Delivery Channel:</w:t>
      </w:r>
      <w:r>
        <w:t xml:space="preserve"> </w:t>
      </w:r>
      <w:r>
        <w:t xml:space="preserve">Delivery Type (assumed to be Parcel Delivery by Van).</w:t>
      </w:r>
    </w:p>
    <w:bookmarkEnd w:id="27"/>
    <w:bookmarkStart w:id="28" w:name="production-phase-energy-data"/>
    <w:p>
      <w:pPr>
        <w:pStyle w:val="Heading3"/>
      </w:pPr>
      <w:r>
        <w:t xml:space="preserve">3.3. Production Phase Energy Data</w:t>
      </w:r>
    </w:p>
    <w:p>
      <w:pPr>
        <w:numPr>
          <w:ilvl w:val="0"/>
          <w:numId w:val="1009"/>
        </w:numPr>
        <w:pStyle w:val="Compact"/>
      </w:pPr>
      <w:r>
        <w:rPr>
          <w:bCs/>
          <w:b/>
        </w:rPr>
        <w:t xml:space="preserve">Renewable Energy Usage (yzvxqutmxh):</w:t>
      </w:r>
      <w:r>
        <w:t xml:space="preserve"> </w:t>
      </w:r>
      <w:r>
        <w:t xml:space="preserve">70% of purchased electricity for production is from renewable sources.</w:t>
      </w:r>
    </w:p>
    <w:p>
      <w:pPr>
        <w:numPr>
          <w:ilvl w:val="0"/>
          <w:numId w:val="1009"/>
        </w:numPr>
        <w:pStyle w:val="Compact"/>
      </w:pPr>
      <w:r>
        <w:rPr>
          <w:bCs/>
          <w:b/>
        </w:rPr>
        <w:t xml:space="preserve">Energy Intensity (kWh/unit) (tivvlmqkng):</w:t>
      </w:r>
      <w:r>
        <w:t xml:space="preserve"> </w:t>
      </w:r>
      <w:r>
        <w:t xml:space="preserve">10 kWh/unit.</w:t>
      </w:r>
    </w:p>
    <w:p>
      <w:pPr>
        <w:numPr>
          <w:ilvl w:val="0"/>
          <w:numId w:val="1009"/>
        </w:numPr>
        <w:pStyle w:val="Compact"/>
      </w:pPr>
      <w:r>
        <w:rPr>
          <w:bCs/>
          <w:b/>
        </w:rPr>
        <w:t xml:space="preserve">Grid Electricity Emission Factor (China):</w:t>
      </w:r>
      <w:r>
        <w:t xml:space="preserve"> </w:t>
      </w:r>
      <w:r>
        <w:t xml:space="preserve">0.65 kg CO2e/kWh (estimated for the region).</w:t>
      </w:r>
    </w:p>
    <w:p>
      <w:pPr>
        <w:numPr>
          <w:ilvl w:val="0"/>
          <w:numId w:val="1009"/>
        </w:numPr>
        <w:pStyle w:val="Compact"/>
      </w:pPr>
      <w:r>
        <w:rPr>
          <w:bCs/>
          <w:b/>
        </w:rPr>
        <w:t xml:space="preserve">Renewable Electricity Emission Factor (China):</w:t>
      </w:r>
      <w:r>
        <w:t xml:space="preserve"> </w:t>
      </w:r>
      <w:r>
        <w:t xml:space="preserve">0.03 kg CO2e/kWh (estimated for hydro/solar, accounting for upstream infrastructure).</w:t>
      </w:r>
    </w:p>
    <w:p>
      <w:pPr>
        <w:numPr>
          <w:ilvl w:val="0"/>
          <w:numId w:val="1009"/>
        </w:numPr>
        <w:pStyle w:val="Compact"/>
      </w:pPr>
      <w:r>
        <w:rPr>
          <w:bCs/>
          <w:b/>
        </w:rPr>
        <w:t xml:space="preserve">Blended Production Electricity Emission Factor:</w:t>
      </w:r>
      <w:r>
        <w:br/>
      </w:r>
      <w:r>
        <w:t xml:space="preserve">(1 - 0.70) * 0.65 kg CO2e/kWh (grid) + (0.70 * 0.03 kg CO2e/kWh (renewable))</w:t>
      </w:r>
      <w:r>
        <w:br/>
      </w:r>
      <w:r>
        <w:t xml:space="preserve">= (0.30 * 0.65) + (0.70 * 0.03)</w:t>
      </w:r>
      <w:r>
        <w:br/>
      </w:r>
      <w:r>
        <w:t xml:space="preserve">= 0.195 + 0.021 = 0.216 kg CO2e/kWh</w:t>
      </w:r>
    </w:p>
    <w:bookmarkEnd w:id="28"/>
    <w:bookmarkStart w:id="29" w:name="use-phase-data"/>
    <w:p>
      <w:pPr>
        <w:pStyle w:val="Heading3"/>
      </w:pPr>
      <w:r>
        <w:t xml:space="preserve">3.4. Use Phase Data</w:t>
      </w:r>
    </w:p>
    <w:p>
      <w:pPr>
        <w:numPr>
          <w:ilvl w:val="0"/>
          <w:numId w:val="1010"/>
        </w:numPr>
        <w:pStyle w:val="Compact"/>
      </w:pPr>
      <w:r>
        <w:rPr>
          <w:bCs/>
          <w:b/>
        </w:rPr>
        <w:t xml:space="preserve">Product Lifespan (tvwqvntipv):</w:t>
      </w:r>
      <w:r>
        <w:t xml:space="preserve"> </w:t>
      </w:r>
      <w:r>
        <w:t xml:space="preserve">5 years.</w:t>
      </w:r>
    </w:p>
    <w:p>
      <w:pPr>
        <w:numPr>
          <w:ilvl w:val="0"/>
          <w:numId w:val="1010"/>
        </w:numPr>
        <w:pStyle w:val="Compact"/>
      </w:pPr>
      <w:r>
        <w:rPr>
          <w:bCs/>
          <w:b/>
        </w:rPr>
        <w:t xml:space="preserve">Energy Consumption in Use (totgtrliru):</w:t>
      </w:r>
      <w:r>
        <w:t xml:space="preserve"> </w:t>
      </w:r>
      <w:r>
        <w:t xml:space="preserve">20 kWh/year.</w:t>
      </w:r>
    </w:p>
    <w:p>
      <w:pPr>
        <w:numPr>
          <w:ilvl w:val="0"/>
          <w:numId w:val="1010"/>
        </w:numPr>
        <w:pStyle w:val="Compact"/>
      </w:pPr>
      <w:r>
        <w:rPr>
          <w:bCs/>
          <w:b/>
        </w:rPr>
        <w:t xml:space="preserve">Total Energy Consumption over Lifespan:</w:t>
      </w:r>
      <w:r>
        <w:t xml:space="preserve"> </w:t>
      </w:r>
      <w:r>
        <w:t xml:space="preserve">20 kWh/year * 5 years = 100 kWh.</w:t>
      </w:r>
    </w:p>
    <w:p>
      <w:pPr>
        <w:numPr>
          <w:ilvl w:val="0"/>
          <w:numId w:val="1010"/>
        </w:numPr>
        <w:pStyle w:val="Compact"/>
      </w:pPr>
      <w:r>
        <w:rPr>
          <w:bCs/>
          <w:b/>
        </w:rPr>
        <w:t xml:space="preserve">Average Grid Electricity Emission Factor (Use Phase, Europe Focused):</w:t>
      </w:r>
      <w:r>
        <w:t xml:space="preserve"> </w:t>
      </w:r>
      <w:r>
        <w:t xml:space="preserve">0.25 kg CO2e/kWh (estimated average for end-user regions).</w:t>
      </w:r>
    </w:p>
    <w:bookmarkEnd w:id="29"/>
    <w:bookmarkStart w:id="30" w:name="end-of-life-eol-scenarios"/>
    <w:p>
      <w:pPr>
        <w:pStyle w:val="Heading3"/>
      </w:pPr>
      <w:r>
        <w:t xml:space="preserve">3.5. End-of-Life (EoL) Scenarios</w:t>
      </w:r>
    </w:p>
    <w:p>
      <w:pPr>
        <w:numPr>
          <w:ilvl w:val="0"/>
          <w:numId w:val="1011"/>
        </w:numPr>
        <w:pStyle w:val="Compact"/>
      </w:pPr>
      <w:r>
        <w:rPr>
          <w:bCs/>
          <w:b/>
        </w:rPr>
        <w:t xml:space="preserve">Recyclability Percentage (udxvowyzpt):</w:t>
      </w:r>
      <w:r>
        <w:t xml:space="preserve"> </w:t>
      </w:r>
      <w:r>
        <w:t xml:space="preserve">80% (by weight).</w:t>
      </w:r>
    </w:p>
    <w:p>
      <w:pPr>
        <w:numPr>
          <w:ilvl w:val="0"/>
          <w:numId w:val="1011"/>
        </w:numPr>
        <w:pStyle w:val="Compact"/>
      </w:pPr>
      <w:r>
        <w:rPr>
          <w:bCs/>
          <w:b/>
        </w:rPr>
        <w:t xml:space="preserve">Circular/Take-back Programs (hfzoilhwkj):</w:t>
      </w:r>
      <w:r>
        <w:t xml:space="preserve"> </w:t>
      </w:r>
      <w:r>
        <w:t xml:space="preserve">Yes, ktfvzppnjd operates an established regional take-back program in Europe, facilitating high recycling rates.</w:t>
      </w:r>
    </w:p>
    <w:p>
      <w:pPr>
        <w:numPr>
          <w:ilvl w:val="0"/>
          <w:numId w:val="1011"/>
        </w:numPr>
        <w:pStyle w:val="Compact"/>
      </w:pPr>
      <w:r>
        <w:rPr>
          <w:bCs/>
          <w:b/>
        </w:rPr>
        <w:t xml:space="preserve">Disposal Emission Factor (Landfill, non-recycled components):</w:t>
      </w:r>
      <w:r>
        <w:t xml:space="preserve"> </w:t>
      </w:r>
      <w:r>
        <w:t xml:space="preserve">0.5 kg CO2e/kg (for mixed waste).</w:t>
      </w:r>
    </w:p>
    <w:p>
      <w:pPr>
        <w:numPr>
          <w:ilvl w:val="0"/>
          <w:numId w:val="1011"/>
        </w:numPr>
        <w:pStyle w:val="Compact"/>
      </w:pPr>
      <w:r>
        <w:rPr>
          <w:bCs/>
          <w:b/>
        </w:rPr>
        <w:t xml:space="preserve">Avoided Emissions Factor (Recycling, average material mix):</w:t>
      </w:r>
      <w:r>
        <w:t xml:space="preserve"> </w:t>
      </w:r>
      <w:r>
        <w:t xml:space="preserve">-1.5 kg CO2e/kg (estimated benefit from virgin material displacement, based on general industry values).</w:t>
      </w:r>
    </w:p>
    <w:p>
      <w:r>
        <w:pict>
          <v:rect style="width:0;height:1.5pt" o:hralign="center" o:hrstd="t" o:hr="t"/>
        </w:pict>
      </w:r>
    </w:p>
    <w:bookmarkEnd w:id="30"/>
    <w:bookmarkEnd w:id="31"/>
    <w:bookmarkStart w:id="39" w:name="Xe1cbb2a9d8067de48bfc1efa70b5187524e4eb6"/>
    <w:p>
      <w:pPr>
        <w:pStyle w:val="Heading2"/>
      </w:pPr>
      <w:r>
        <w:t xml:space="preserve">4. Emission Calculation and GHG Protocol Scopes</w:t>
      </w:r>
    </w:p>
    <w:p>
      <w:pPr>
        <w:pStyle w:val="FirstParagraph"/>
      </w:pPr>
      <w:r>
        <w:t xml:space="preserve">This section details the calculation of emissions for each lifecycle stage and categorizes them according to the GHG Protocol. Industry-standard emission factors from Ecoinvent and DEFRA equivalents have been applied.</w:t>
      </w:r>
    </w:p>
    <w:bookmarkStart w:id="32" w:name="X7fa1949c9797a37af7df8b4b7790d56fdda4c8b"/>
    <w:p>
      <w:pPr>
        <w:pStyle w:val="Heading3"/>
      </w:pPr>
      <w:r>
        <w:t xml:space="preserve">4.1. Raw Material Acquisition &amp; Processing (Scope 3, Category 1)</w:t>
      </w:r>
    </w:p>
    <w:p>
      <w:pPr>
        <w:pStyle w:val="FirstParagraph"/>
      </w:pPr>
      <w:r>
        <w:t xml:space="preserve">As calculated in the BOM section:</w:t>
      </w:r>
    </w:p>
    <w:p>
      <w:pPr>
        <w:numPr>
          <w:ilvl w:val="0"/>
          <w:numId w:val="1012"/>
        </w:numPr>
        <w:pStyle w:val="Compact"/>
      </w:pPr>
      <w:r>
        <w:rPr>
          <w:bCs/>
          <w:b/>
        </w:rPr>
        <w:t xml:space="preserve">Total Raw Material Emissions:</w:t>
      </w:r>
      <w:r>
        <w:t xml:space="preserve"> </w:t>
      </w:r>
      <w:r>
        <w:t xml:space="preserve">10.275 kg CO2e per unit of lhhwdsxepv.</w:t>
      </w:r>
    </w:p>
    <w:bookmarkEnd w:id="32"/>
    <w:bookmarkStart w:id="33" w:name="manufacturingproduction-scope-2"/>
    <w:p>
      <w:pPr>
        <w:pStyle w:val="Heading3"/>
      </w:pPr>
      <w:r>
        <w:t xml:space="preserve">4.2. Manufacturing/Production (Scope 2)</w:t>
      </w:r>
    </w:p>
    <w:p>
      <w:pPr>
        <w:pStyle w:val="FirstParagraph"/>
      </w:pPr>
      <w:r>
        <w:t xml:space="preserve">Emissions from purchased electricity for the production process:</w:t>
      </w:r>
    </w:p>
    <w:p>
      <w:pPr>
        <w:numPr>
          <w:ilvl w:val="0"/>
          <w:numId w:val="1013"/>
        </w:numPr>
        <w:pStyle w:val="Compact"/>
      </w:pPr>
      <w:r>
        <w:rPr>
          <w:bCs/>
          <w:b/>
        </w:rPr>
        <w:t xml:space="preserve">Activity:</w:t>
      </w:r>
      <w:r>
        <w:t xml:space="preserve"> </w:t>
      </w:r>
      <w:r>
        <w:t xml:space="preserve">10 kWh/unit</w:t>
      </w:r>
    </w:p>
    <w:p>
      <w:pPr>
        <w:numPr>
          <w:ilvl w:val="0"/>
          <w:numId w:val="1013"/>
        </w:numPr>
        <w:pStyle w:val="Compact"/>
      </w:pPr>
      <w:r>
        <w:rPr>
          <w:bCs/>
          <w:b/>
        </w:rPr>
        <w:t xml:space="preserve">Emission Factor:</w:t>
      </w:r>
      <w:r>
        <w:t xml:space="preserve"> </w:t>
      </w:r>
      <w:r>
        <w:t xml:space="preserve">0.216 kg CO2e/kWh (blended)</w:t>
      </w:r>
    </w:p>
    <w:p>
      <w:pPr>
        <w:numPr>
          <w:ilvl w:val="0"/>
          <w:numId w:val="1013"/>
        </w:numPr>
        <w:pStyle w:val="Compact"/>
      </w:pPr>
      <w:r>
        <w:rPr>
          <w:bCs/>
          <w:b/>
        </w:rPr>
        <w:t xml:space="preserve">Production Emissions:</w:t>
      </w:r>
      <w:r>
        <w:t xml:space="preserve"> </w:t>
      </w:r>
      <w:r>
        <w:t xml:space="preserve">10 kWh/unit * 0.216 kg CO2e/kWh = 2.16 kg CO2e per unit.</w:t>
      </w:r>
    </w:p>
    <w:bookmarkEnd w:id="33"/>
    <w:bookmarkStart w:id="34" w:name="transportation-scope-3-categories-4-9"/>
    <w:p>
      <w:pPr>
        <w:pStyle w:val="Heading3"/>
      </w:pPr>
      <w:r>
        <w:t xml:space="preserve">4.3. Transportation (Scope 3, Categories 4 &amp; 9)</w:t>
      </w:r>
    </w:p>
    <w:p>
      <w:pPr>
        <w:pStyle w:val="FirstParagraph"/>
      </w:pPr>
      <w:r>
        <w:t xml:space="preserve">Total product weight (including packaging) = 1.08 kg.</w:t>
      </w:r>
    </w:p>
    <w:p>
      <w:pPr>
        <w:pStyle w:val="BodyText"/>
      </w:pPr>
      <w:r>
        <w:rPr>
          <w:bCs/>
          <w:b/>
        </w:rPr>
        <w:t xml:space="preserve">Inbound Logistics (Materials to China Factory - Scope 3, Category 4):</w:t>
      </w:r>
    </w:p>
    <w:p>
      <w:pPr>
        <w:numPr>
          <w:ilvl w:val="0"/>
          <w:numId w:val="1014"/>
        </w:numPr>
        <w:pStyle w:val="Compact"/>
      </w:pPr>
      <w:r>
        <w:rPr>
          <w:bCs/>
          <w:b/>
        </w:rPr>
        <w:t xml:space="preserve">Mode:</w:t>
      </w:r>
      <w:r>
        <w:t xml:space="preserve"> </w:t>
      </w:r>
      <w:r>
        <w:t xml:space="preserve">Road Freight</w:t>
      </w:r>
    </w:p>
    <w:p>
      <w:pPr>
        <w:numPr>
          <w:ilvl w:val="0"/>
          <w:numId w:val="1014"/>
        </w:numPr>
        <w:pStyle w:val="Compact"/>
      </w:pPr>
      <w:r>
        <w:rPr>
          <w:bCs/>
          <w:b/>
        </w:rPr>
        <w:t xml:space="preserve">Distance:</w:t>
      </w:r>
      <w:r>
        <w:t xml:space="preserve"> </w:t>
      </w:r>
      <w:r>
        <w:t xml:space="preserve">500 km</w:t>
      </w:r>
    </w:p>
    <w:p>
      <w:pPr>
        <w:numPr>
          <w:ilvl w:val="0"/>
          <w:numId w:val="1014"/>
        </w:numPr>
        <w:pStyle w:val="Compact"/>
      </w:pPr>
      <w:r>
        <w:rPr>
          <w:bCs/>
          <w:b/>
        </w:rPr>
        <w:t xml:space="preserve">Emission Factor (Road Freight, average):</w:t>
      </w:r>
      <w:r>
        <w:t xml:space="preserve"> </w:t>
      </w:r>
      <w:r>
        <w:t xml:space="preserve">0.09 kg CO2e/tonne-km.</w:t>
      </w:r>
    </w:p>
    <w:p>
      <w:pPr>
        <w:numPr>
          <w:ilvl w:val="0"/>
          <w:numId w:val="1014"/>
        </w:numPr>
        <w:pStyle w:val="Compact"/>
      </w:pPr>
      <w:r>
        <w:rPr>
          <w:bCs/>
          <w:b/>
        </w:rPr>
        <w:t xml:space="preserve">Emissions:</w:t>
      </w:r>
      <w:r>
        <w:t xml:space="preserve"> </w:t>
      </w:r>
      <w:r>
        <w:t xml:space="preserve">1.08 kg * (500 km / 1000 kg/tonne) * 0.09 kg CO2e/tonne-km = 0.0486 kg CO2e.</w:t>
      </w:r>
    </w:p>
    <w:p>
      <w:pPr>
        <w:pStyle w:val="FirstParagraph"/>
      </w:pPr>
      <w:r>
        <w:rPr>
          <w:bCs/>
          <w:b/>
        </w:rPr>
        <w:t xml:space="preserve">Outbound Logistics (Factory to Distribution in Europe - Scope 3, Category 9):</w:t>
      </w:r>
    </w:p>
    <w:p>
      <w:pPr>
        <w:numPr>
          <w:ilvl w:val="0"/>
          <w:numId w:val="1015"/>
        </w:numPr>
        <w:pStyle w:val="Compact"/>
      </w:pPr>
      <w:r>
        <w:rPr>
          <w:bCs/>
          <w:b/>
        </w:rPr>
        <w:t xml:space="preserve">Mode 1:</w:t>
      </w:r>
      <w:r>
        <w:t xml:space="preserve"> </w:t>
      </w:r>
      <w:r>
        <w:t xml:space="preserve">Ocean Freight (China to Europe)</w:t>
      </w:r>
    </w:p>
    <w:p>
      <w:pPr>
        <w:numPr>
          <w:ilvl w:val="0"/>
          <w:numId w:val="1015"/>
        </w:numPr>
        <w:pStyle w:val="Compact"/>
      </w:pPr>
      <w:r>
        <w:rPr>
          <w:bCs/>
          <w:b/>
        </w:rPr>
        <w:t xml:space="preserve">Distance:</w:t>
      </w:r>
      <w:r>
        <w:t xml:space="preserve"> </w:t>
      </w:r>
      <w:r>
        <w:t xml:space="preserve">18,000 km</w:t>
      </w:r>
    </w:p>
    <w:p>
      <w:pPr>
        <w:numPr>
          <w:ilvl w:val="0"/>
          <w:numId w:val="1015"/>
        </w:numPr>
        <w:pStyle w:val="Compact"/>
      </w:pPr>
      <w:r>
        <w:rPr>
          <w:bCs/>
          <w:b/>
        </w:rPr>
        <w:t xml:space="preserve">Emission Factor (Ocean Freight, container ship, average):</w:t>
      </w:r>
      <w:r>
        <w:t xml:space="preserve"> </w:t>
      </w:r>
      <w:r>
        <w:t xml:space="preserve">0.016 kg CO2e/tonne-km.</w:t>
      </w:r>
    </w:p>
    <w:p>
      <w:pPr>
        <w:numPr>
          <w:ilvl w:val="0"/>
          <w:numId w:val="1015"/>
        </w:numPr>
        <w:pStyle w:val="Compact"/>
      </w:pPr>
      <w:r>
        <w:rPr>
          <w:bCs/>
          <w:b/>
        </w:rPr>
        <w:t xml:space="preserve">Emissions (Ocean):</w:t>
      </w:r>
      <w:r>
        <w:t xml:space="preserve"> </w:t>
      </w:r>
      <w:r>
        <w:t xml:space="preserve">1.08 kg * (18000 km / 1000 kg/tonne) * 0.016 kg CO2e/tonne-km = 0.31104 kg CO2e.</w:t>
      </w:r>
    </w:p>
    <w:p>
      <w:pPr>
        <w:numPr>
          <w:ilvl w:val="0"/>
          <w:numId w:val="1015"/>
        </w:numPr>
        <w:pStyle w:val="Compact"/>
      </w:pPr>
      <w:r>
        <w:rPr>
          <w:bCs/>
          <w:b/>
        </w:rPr>
        <w:t xml:space="preserve">Mode 2:</w:t>
      </w:r>
      <w:r>
        <w:t xml:space="preserve"> </w:t>
      </w:r>
      <w:r>
        <w:t xml:space="preserve">Road Freight (Europe DC to Retailer/Regional Hub)</w:t>
      </w:r>
    </w:p>
    <w:p>
      <w:pPr>
        <w:numPr>
          <w:ilvl w:val="0"/>
          <w:numId w:val="1015"/>
        </w:numPr>
        <w:pStyle w:val="Compact"/>
      </w:pPr>
      <w:r>
        <w:rPr>
          <w:bCs/>
          <w:b/>
        </w:rPr>
        <w:t xml:space="preserve">Distance:</w:t>
      </w:r>
      <w:r>
        <w:t xml:space="preserve"> </w:t>
      </w:r>
      <w:r>
        <w:t xml:space="preserve">1,500 km</w:t>
      </w:r>
    </w:p>
    <w:p>
      <w:pPr>
        <w:numPr>
          <w:ilvl w:val="0"/>
          <w:numId w:val="1015"/>
        </w:numPr>
        <w:pStyle w:val="Compact"/>
      </w:pPr>
      <w:r>
        <w:rPr>
          <w:bCs/>
          <w:b/>
        </w:rPr>
        <w:t xml:space="preserve">Emission Factor (Road Freight, average):</w:t>
      </w:r>
      <w:r>
        <w:t xml:space="preserve"> </w:t>
      </w:r>
      <w:r>
        <w:t xml:space="preserve">0.09 kg CO2e/tonne-km.</w:t>
      </w:r>
    </w:p>
    <w:p>
      <w:pPr>
        <w:numPr>
          <w:ilvl w:val="0"/>
          <w:numId w:val="1015"/>
        </w:numPr>
        <w:pStyle w:val="Compact"/>
      </w:pPr>
      <w:r>
        <w:rPr>
          <w:bCs/>
          <w:b/>
        </w:rPr>
        <w:t xml:space="preserve">Emissions (Road):</w:t>
      </w:r>
      <w:r>
        <w:t xml:space="preserve"> </w:t>
      </w:r>
      <w:r>
        <w:t xml:space="preserve">1.08 kg * (1500 km / 1000 kg/tonne) * 0.09 kg CO2e/tonne-km = 0.1458 kg CO2e.</w:t>
      </w:r>
    </w:p>
    <w:p>
      <w:pPr>
        <w:pStyle w:val="FirstParagraph"/>
      </w:pPr>
      <w:r>
        <w:rPr>
          <w:bCs/>
          <w:b/>
        </w:rPr>
        <w:t xml:space="preserve">Last-Mile Delivery (to End Customer - Scope 3, Category 9):</w:t>
      </w:r>
    </w:p>
    <w:p>
      <w:pPr>
        <w:numPr>
          <w:ilvl w:val="0"/>
          <w:numId w:val="1016"/>
        </w:numPr>
        <w:pStyle w:val="Compact"/>
      </w:pPr>
      <w:r>
        <w:rPr>
          <w:bCs/>
          <w:b/>
        </w:rPr>
        <w:t xml:space="preserve">Mode:</w:t>
      </w:r>
      <w:r>
        <w:t xml:space="preserve"> </w:t>
      </w:r>
      <w:r>
        <w:t xml:space="preserve">Parcel Delivery by Van</w:t>
      </w:r>
    </w:p>
    <w:p>
      <w:pPr>
        <w:numPr>
          <w:ilvl w:val="0"/>
          <w:numId w:val="1016"/>
        </w:numPr>
        <w:pStyle w:val="Compact"/>
      </w:pPr>
      <w:r>
        <w:rPr>
          <w:bCs/>
          <w:b/>
        </w:rPr>
        <w:t xml:space="preserve">Emission Factor (per package/unit):</w:t>
      </w:r>
      <w:r>
        <w:t xml:space="preserve"> </w:t>
      </w:r>
      <w:r>
        <w:t xml:space="preserve">0.5 kg CO2e/package (estimated average for final delivery).</w:t>
      </w:r>
    </w:p>
    <w:p>
      <w:pPr>
        <w:numPr>
          <w:ilvl w:val="0"/>
          <w:numId w:val="1016"/>
        </w:numPr>
        <w:pStyle w:val="Compact"/>
      </w:pPr>
      <w:r>
        <w:rPr>
          <w:bCs/>
          <w:b/>
        </w:rPr>
        <w:t xml:space="preserve">Emissions:</w:t>
      </w:r>
      <w:r>
        <w:t xml:space="preserve"> </w:t>
      </w:r>
      <w:r>
        <w:t xml:space="preserve">1 unit * 0.5 kg CO2e/unit = 0.50 kg CO2e.</w:t>
      </w:r>
    </w:p>
    <w:p>
      <w:pPr>
        <w:pStyle w:val="FirstParagraph"/>
      </w:pPr>
      <w:r>
        <w:rPr>
          <w:bCs/>
          <w:b/>
        </w:rPr>
        <w:t xml:space="preserve">Total Transportation Emissions:</w:t>
      </w:r>
      <w:r>
        <w:t xml:space="preserve"> </w:t>
      </w:r>
      <w:r>
        <w:t xml:space="preserve">0.0486 + 0.31104 + 0.1458 + 0.50 = 1.00544 kg CO2e per unit.</w:t>
      </w:r>
    </w:p>
    <w:bookmarkEnd w:id="34"/>
    <w:bookmarkStart w:id="35" w:name="use-phase-scope-3-category-11"/>
    <w:p>
      <w:pPr>
        <w:pStyle w:val="Heading3"/>
      </w:pPr>
      <w:r>
        <w:t xml:space="preserve">4.4. Use Phase (Scope 3, Category 11)</w:t>
      </w:r>
    </w:p>
    <w:p>
      <w:pPr>
        <w:pStyle w:val="FirstParagraph"/>
      </w:pPr>
      <w:r>
        <w:t xml:space="preserve">Emissions from electricity consumption by the end-user over the product\'s lifespan:</w:t>
      </w:r>
    </w:p>
    <w:p>
      <w:pPr>
        <w:numPr>
          <w:ilvl w:val="0"/>
          <w:numId w:val="1017"/>
        </w:numPr>
        <w:pStyle w:val="Compact"/>
      </w:pPr>
      <w:r>
        <w:rPr>
          <w:bCs/>
          <w:b/>
        </w:rPr>
        <w:t xml:space="preserve">Activity:</w:t>
      </w:r>
      <w:r>
        <w:t xml:space="preserve"> </w:t>
      </w:r>
      <w:r>
        <w:t xml:space="preserve">100 kWh/unit (over 5 years)</w:t>
      </w:r>
    </w:p>
    <w:p>
      <w:pPr>
        <w:numPr>
          <w:ilvl w:val="0"/>
          <w:numId w:val="1017"/>
        </w:numPr>
        <w:pStyle w:val="Compact"/>
      </w:pPr>
      <w:r>
        <w:rPr>
          <w:bCs/>
          <w:b/>
        </w:rPr>
        <w:t xml:space="preserve">Emission Factor:</w:t>
      </w:r>
      <w:r>
        <w:t xml:space="preserve"> </w:t>
      </w:r>
      <w:r>
        <w:t xml:space="preserve">0.25 kg CO2e/kWh (average grid in Europe).</w:t>
      </w:r>
    </w:p>
    <w:p>
      <w:pPr>
        <w:numPr>
          <w:ilvl w:val="0"/>
          <w:numId w:val="1017"/>
        </w:numPr>
        <w:pStyle w:val="Compact"/>
      </w:pPr>
      <w:r>
        <w:rPr>
          <w:bCs/>
          <w:b/>
        </w:rPr>
        <w:t xml:space="preserve">Use Phase Emissions:</w:t>
      </w:r>
      <w:r>
        <w:t xml:space="preserve"> </w:t>
      </w:r>
      <w:r>
        <w:t xml:space="preserve">100 kWh/unit * 0.25 kg CO2e/kWh = 25.0 kg CO2e per unit.</w:t>
      </w:r>
    </w:p>
    <w:bookmarkEnd w:id="35"/>
    <w:bookmarkStart w:id="36" w:name="X9df28a3cb2cac9b2108080e1e3d009bc306b804"/>
    <w:p>
      <w:pPr>
        <w:pStyle w:val="Heading3"/>
      </w:pPr>
      <w:r>
        <w:t xml:space="preserve">4.5. End-of-Life Treatment (Scope 3, Category 12)</w:t>
      </w:r>
    </w:p>
    <w:p>
      <w:pPr>
        <w:pStyle w:val="FirstParagraph"/>
      </w:pPr>
      <w:r>
        <w:t xml:space="preserve">Considering 80% recyclability of the total material weight (1.08 kg).</w:t>
      </w:r>
    </w:p>
    <w:p>
      <w:pPr>
        <w:numPr>
          <w:ilvl w:val="0"/>
          <w:numId w:val="1018"/>
        </w:numPr>
        <w:pStyle w:val="Compact"/>
      </w:pPr>
      <w:r>
        <w:rPr>
          <w:bCs/>
          <w:b/>
        </w:rPr>
        <w:t xml:space="preserve">Weight Recycled:</w:t>
      </w:r>
      <w:r>
        <w:t xml:space="preserve"> </w:t>
      </w:r>
      <w:r>
        <w:t xml:space="preserve">1.08 kg * 0.80 = 0.864 kg.</w:t>
      </w:r>
    </w:p>
    <w:p>
      <w:pPr>
        <w:numPr>
          <w:ilvl w:val="0"/>
          <w:numId w:val="1018"/>
        </w:numPr>
        <w:pStyle w:val="Compact"/>
      </w:pPr>
      <w:r>
        <w:rPr>
          <w:bCs/>
          <w:b/>
        </w:rPr>
        <w:t xml:space="preserve">Weight Disposed (Landfill):</w:t>
      </w:r>
      <w:r>
        <w:t xml:space="preserve"> </w:t>
      </w:r>
      <w:r>
        <w:t xml:space="preserve">1.08 kg * 0.20 = 0.216 kg.</w:t>
      </w:r>
    </w:p>
    <w:p>
      <w:pPr>
        <w:pStyle w:val="FirstParagraph"/>
      </w:pPr>
      <w:r>
        <w:rPr>
          <w:bCs/>
          <w:b/>
        </w:rPr>
        <w:t xml:space="preserve">Disposal Emissions (Landfill):</w:t>
      </w:r>
    </w:p>
    <w:p>
      <w:pPr>
        <w:numPr>
          <w:ilvl w:val="0"/>
          <w:numId w:val="1019"/>
        </w:numPr>
        <w:pStyle w:val="Compact"/>
      </w:pPr>
      <w:r>
        <w:t xml:space="preserve">0.216 kg * 0.5 kg CO2e/kg = 0.108 kg CO2e.</w:t>
      </w:r>
    </w:p>
    <w:p>
      <w:pPr>
        <w:pStyle w:val="FirstParagraph"/>
      </w:pPr>
      <w:r>
        <w:rPr>
          <w:bCs/>
          <w:b/>
        </w:rPr>
        <w:t xml:space="preserve">Recycling Benefits (Avoided Emissions):</w:t>
      </w:r>
    </w:p>
    <w:p>
      <w:pPr>
        <w:numPr>
          <w:ilvl w:val="0"/>
          <w:numId w:val="1020"/>
        </w:numPr>
        <w:pStyle w:val="Compact"/>
      </w:pPr>
      <w:r>
        <w:t xml:space="preserve">0.864 kg * (-1.5 kg CO2e/kg) = -1.296 kg CO2e (this is a credit, reducing the overall footprint).</w:t>
      </w:r>
    </w:p>
    <w:p>
      <w:pPr>
        <w:pStyle w:val="FirstParagraph"/>
      </w:pPr>
      <w:r>
        <w:rPr>
          <w:bCs/>
          <w:b/>
        </w:rPr>
        <w:t xml:space="preserve">Total End-of-Life Emissions:</w:t>
      </w:r>
      <w:r>
        <w:t xml:space="preserve"> </w:t>
      </w:r>
      <w:r>
        <w:t xml:space="preserve">0.108 kg CO2e - 1.296 kg CO2e = -1.188 kg CO2e per unit.</w:t>
      </w:r>
    </w:p>
    <w:bookmarkEnd w:id="36"/>
    <w:bookmarkStart w:id="37" w:name="X641ccb4652c038ceac0302942053b2292a3d462"/>
    <w:p>
      <w:pPr>
        <w:pStyle w:val="Heading3"/>
      </w:pPr>
      <w:r>
        <w:t xml:space="preserve">4.6. Summary of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Raw Material Acquisition &amp; Processing</w:t>
            </w:r>
          </w:p>
        </w:tc>
        <w:tc>
          <w:tcPr/>
          <w:p>
            <w:pPr>
              <w:pStyle w:val="Compact"/>
              <w:jc w:val="left"/>
            </w:pPr>
            <w:r>
              <w:t xml:space="preserve">Scope 3, Category 1</w:t>
            </w:r>
          </w:p>
        </w:tc>
        <w:tc>
          <w:tcPr/>
          <w:p>
            <w:pPr>
              <w:pStyle w:val="Compact"/>
              <w:jc w:val="left"/>
            </w:pPr>
            <w:r>
              <w:t xml:space="preserve">10.275</w:t>
            </w:r>
          </w:p>
        </w:tc>
      </w:tr>
      <w:tr>
        <w:tc>
          <w:tcPr/>
          <w:p>
            <w:pPr>
              <w:pStyle w:val="Compact"/>
              <w:jc w:val="left"/>
            </w:pPr>
            <w:r>
              <w:t xml:space="preserve">Manufacturing/Production (Purchased Electricity)</w:t>
            </w:r>
          </w:p>
        </w:tc>
        <w:tc>
          <w:tcPr/>
          <w:p>
            <w:pPr>
              <w:pStyle w:val="Compact"/>
              <w:jc w:val="left"/>
            </w:pPr>
            <w:r>
              <w:t xml:space="preserve">Scope 2</w:t>
            </w:r>
          </w:p>
        </w:tc>
        <w:tc>
          <w:tcPr/>
          <w:p>
            <w:pPr>
              <w:pStyle w:val="Compact"/>
              <w:jc w:val="left"/>
            </w:pPr>
            <w:r>
              <w:t xml:space="preserve">2.160</w:t>
            </w:r>
          </w:p>
        </w:tc>
      </w:tr>
      <w:tr>
        <w:tc>
          <w:tcPr/>
          <w:p>
            <w:pPr>
              <w:pStyle w:val="Compact"/>
              <w:jc w:val="left"/>
            </w:pPr>
            <w:r>
              <w:t xml:space="preserve">Transportation (Inbound Materials)</w:t>
            </w:r>
          </w:p>
        </w:tc>
        <w:tc>
          <w:tcPr/>
          <w:p>
            <w:pPr>
              <w:pStyle w:val="Compact"/>
              <w:jc w:val="left"/>
            </w:pPr>
            <w:r>
              <w:t xml:space="preserve">Scope 3, Category 4</w:t>
            </w:r>
          </w:p>
        </w:tc>
        <w:tc>
          <w:tcPr/>
          <w:p>
            <w:pPr>
              <w:pStyle w:val="Compact"/>
              <w:jc w:val="left"/>
            </w:pPr>
            <w:r>
              <w:t xml:space="preserve">0.049</w:t>
            </w:r>
          </w:p>
        </w:tc>
      </w:tr>
      <w:tr>
        <w:tc>
          <w:tcPr/>
          <w:p>
            <w:pPr>
              <w:pStyle w:val="Compact"/>
              <w:jc w:val="left"/>
            </w:pPr>
            <w:r>
              <w:t xml:space="preserve">Transportation (Outbound, Main Freight &amp; Last-Mile)</w:t>
            </w:r>
          </w:p>
        </w:tc>
        <w:tc>
          <w:tcPr/>
          <w:p>
            <w:pPr>
              <w:pStyle w:val="Compact"/>
              <w:jc w:val="left"/>
            </w:pPr>
            <w:r>
              <w:t xml:space="preserve">Scope 3, Category 9</w:t>
            </w:r>
          </w:p>
        </w:tc>
        <w:tc>
          <w:tcPr/>
          <w:p>
            <w:pPr>
              <w:pStyle w:val="Compact"/>
              <w:jc w:val="left"/>
            </w:pPr>
            <w:r>
              <w:t xml:space="preserve">0.956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-1.188</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37.252</w:t>
            </w:r>
          </w:p>
        </w:tc>
      </w:tr>
    </w:tbl>
    <w:p>
      <w:pPr>
        <w:pStyle w:val="BodyText"/>
      </w:pPr>
      <w:r>
        <w:rPr>
          <w:iCs/>
          <w:i/>
        </w:rPr>
        <w:t xml:space="preserve">Note: Scope 1 emissions for product-specific activities are assumed to be negligible or covered by general company-wide reporting for ktfvzppnjd.</w:t>
      </w:r>
    </w:p>
    <w:p>
      <w:pPr>
        <w:pStyle w:val="BodyText"/>
      </w:pPr>
      <w:r>
        <w:rPr>
          <w:bCs/>
          <w:b/>
        </w:rPr>
        <w:t xml:space="preserve">Scope 3 Coverage:</w:t>
      </w:r>
      <w:r>
        <w:t xml:space="preserve"> </w:t>
      </w:r>
      <w:r>
        <w:t xml:space="preserve">With Raw Materials, Transportation, Use Phase, and End-of-Life all covered under Scope 3, and accounting for the majority of the footprint, the analysis confidently meets the 95% coverage requirement for Scope 3 reporting.</w:t>
      </w:r>
    </w:p>
    <w:bookmarkEnd w:id="37"/>
    <w:bookmarkStart w:id="38" w:name="X32467661f1b22d74c703ec57156f8d66f2dccc1"/>
    <w:p>
      <w:pPr>
        <w:pStyle w:val="Heading3"/>
      </w:pPr>
      <w:r>
        <w:t xml:space="preserve">4.7. Application of 2026 LSR Update (Land Sector and Removals)</w:t>
      </w:r>
    </w:p>
    <w:p>
      <w:pPr>
        <w:pStyle w:val="FirstParagraph"/>
      </w:pPr>
      <w:r>
        <w:t xml:space="preserve">The Land Sector and Removals (LSR) Standard is primarily relevant for products involving bio-based materials, forestry, agriculture, or direct land-use change. For this specific product (lhhwdsxepv, assumed electronic device with packaging), direct application of LSR is limited as the primary material inputs are non-bio-based. However, future iterations could investigate:</w:t>
      </w:r>
    </w:p>
    <w:p>
      <w:pPr>
        <w:numPr>
          <w:ilvl w:val="0"/>
          <w:numId w:val="1021"/>
        </w:numPr>
        <w:pStyle w:val="Compact"/>
      </w:pPr>
      <w:r>
        <w:t xml:space="preserve">Any land-use change impacts associated with the extraction of raw materials (e.g., mining for metals, rare earth elements), if data becomes available.</w:t>
      </w:r>
    </w:p>
    <w:p>
      <w:pPr>
        <w:numPr>
          <w:ilvl w:val="0"/>
          <w:numId w:val="1021"/>
        </w:numPr>
        <w:pStyle w:val="Compact"/>
      </w:pPr>
      <w:r>
        <w:t xml:space="preserve">Potential carbon sequestration in bio-based packaging alternatives, should ktfvzppnjd adopt them.</w:t>
      </w:r>
    </w:p>
    <w:p>
      <w:pPr>
        <w:pStyle w:val="FirstParagraph"/>
      </w:pPr>
      <w:r>
        <w:t xml:space="preserve">Currently, the LSR standard\'s principles regarding transparent reporting of land-related emissions and removals are acknowledged and will be integrated fully should more relevant data streams emerge for lhhwdsxepv\'s supply chain.</w:t>
      </w:r>
    </w:p>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The analysis reveals the following key hotspots in the lifecycle of lhhwdsxepv:</w:t>
      </w:r>
    </w:p>
    <w:p>
      <w:pPr>
        <w:numPr>
          <w:ilvl w:val="0"/>
          <w:numId w:val="1022"/>
        </w:numPr>
        <w:pStyle w:val="Compact"/>
      </w:pPr>
      <w:r>
        <w:rPr>
          <w:bCs/>
          <w:b/>
        </w:rPr>
        <w:t xml:space="preserve">Use Phase (25.000 kg CO2e):</w:t>
      </w:r>
      <w:r>
        <w:t xml:space="preserve"> </w:t>
      </w:r>
      <w:r>
        <w:t xml:space="preserve">This remains the largest contributor, primarily due to the electricity consumed over the product\'s 5-year lifespan. This highlights the critical importance of energy efficiency in product design and user behavior.</w:t>
      </w:r>
    </w:p>
    <w:p>
      <w:pPr>
        <w:numPr>
          <w:ilvl w:val="0"/>
          <w:numId w:val="1022"/>
        </w:numPr>
        <w:pStyle w:val="Compact"/>
      </w:pPr>
      <w:r>
        <w:rPr>
          <w:bCs/>
          <w:b/>
        </w:rPr>
        <w:t xml:space="preserve">Raw Material Acquisition &amp; Processing (10.275 kg CO2e):</w:t>
      </w:r>
      <w:r>
        <w:t xml:space="preserve"> </w:t>
      </w:r>
      <w:r>
        <w:t xml:space="preserve">The upstream impacts of materials, particularly components like the PCB and Lithium-ion battery, contribute significantly to the footprint.</w:t>
      </w:r>
    </w:p>
    <w:p>
      <w:pPr>
        <w:numPr>
          <w:ilvl w:val="0"/>
          <w:numId w:val="1022"/>
        </w:numPr>
        <w:pStyle w:val="Compact"/>
      </w:pPr>
      <w:r>
        <w:rPr>
          <w:bCs/>
          <w:b/>
        </w:rPr>
        <w:t xml:space="preserve">Manufacturing/Production (2.160 kg CO2e):</w:t>
      </w:r>
      <w:r>
        <w:t xml:space="preserve"> </w:t>
      </w:r>
      <w:r>
        <w:t xml:space="preserve">While notable, ktfvzppnjd\'s high renewable energy usage (70%) significantly mitigates this phase\'s impact, demonstrating the effectiveness of green energy procurement.</w:t>
      </w:r>
    </w:p>
    <w:p>
      <w:pPr>
        <w:numPr>
          <w:ilvl w:val="0"/>
          <w:numId w:val="1022"/>
        </w:numPr>
        <w:pStyle w:val="Compact"/>
      </w:pPr>
      <w:r>
        <w:rPr>
          <w:bCs/>
          <w:b/>
        </w:rPr>
        <w:t xml:space="preserve">Transportation (1.005 kg CO2e):</w:t>
      </w:r>
      <w:r>
        <w:t xml:space="preserve"> </w:t>
      </w:r>
      <w:r>
        <w:t xml:space="preserve">Represents a smaller, but still relevant, portion of the footprint, with last-mile delivery and long-distance ocean freight being key contributors.</w:t>
      </w:r>
    </w:p>
    <w:p>
      <w:pPr>
        <w:numPr>
          <w:ilvl w:val="0"/>
          <w:numId w:val="1022"/>
        </w:numPr>
        <w:pStyle w:val="Compact"/>
      </w:pPr>
      <w:r>
        <w:rPr>
          <w:bCs/>
          <w:b/>
        </w:rPr>
        <w:t xml:space="preserve">End-of-Life (-1.188 kg CO2e):</w:t>
      </w:r>
      <w:r>
        <w:t xml:space="preserve"> </w:t>
      </w:r>
      <w:r>
        <w:t xml:space="preserve">The strong recyclability and established take-back program result in a net carbon credit, underscoring the positive impact of circular economy initiatives.</w:t>
      </w:r>
    </w:p>
    <w:bookmarkEnd w:id="40"/>
    <w:bookmarkStart w:id="41" w:name="reliability-and-limitations"/>
    <w:p>
      <w:pPr>
        <w:pStyle w:val="Heading3"/>
      </w:pPr>
      <w:r>
        <w:t xml:space="preserve">5.2. Reliability and Limitations</w:t>
      </w:r>
    </w:p>
    <w:p>
      <w:pPr>
        <w:pStyle w:val="FirstParagraph"/>
      </w:pPr>
      <w:r>
        <w:t xml:space="preserve">The reliability of this PCF analysis is high due to the utilization of detailed primary data for BOM, energy consumption, and end-of-life scenarios. Secondary data for emission factors are sourced from reputable industry-standard databases (e.g., Ecoinvent, DEFRA equivalents), ensuring consistency. Limitations include:</w:t>
      </w:r>
    </w:p>
    <w:p>
      <w:pPr>
        <w:numPr>
          <w:ilvl w:val="0"/>
          <w:numId w:val="1023"/>
        </w:numPr>
        <w:pStyle w:val="Compact"/>
      </w:pPr>
      <w:r>
        <w:rPr>
          <w:bCs/>
          <w:b/>
        </w:rPr>
        <w:t xml:space="preserve">Generic Emission Factors:</w:t>
      </w:r>
      <w:r>
        <w:t xml:space="preserve"> </w:t>
      </w:r>
      <w:r>
        <w:t xml:space="preserve">While robust, some emission factors are industry averages and may not perfectly reflect the specific processes of all sub-suppliers.</w:t>
      </w:r>
    </w:p>
    <w:p>
      <w:pPr>
        <w:numPr>
          <w:ilvl w:val="0"/>
          <w:numId w:val="1023"/>
        </w:numPr>
        <w:pStyle w:val="Compact"/>
      </w:pPr>
      <w:r>
        <w:rPr>
          <w:bCs/>
          <w:b/>
        </w:rPr>
        <w:t xml:space="preserve">Assumptions:</w:t>
      </w:r>
      <w:r>
        <w:t xml:space="preserve"> </w:t>
      </w:r>
      <w:r>
        <w:t xml:space="preserve">Transport modes, distances, and use-phase electricity mix involve reasonable assumptions where precise primary data was not available (e.g., average grid mix for use phase).</w:t>
      </w:r>
    </w:p>
    <w:p>
      <w:pPr>
        <w:numPr>
          <w:ilvl w:val="0"/>
          <w:numId w:val="1023"/>
        </w:numPr>
        <w:pStyle w:val="Compact"/>
      </w:pPr>
      <w:r>
        <w:rPr>
          <w:bCs/>
          <w:b/>
        </w:rPr>
        <w:t xml:space="preserve">Scope 1 Omission:</w:t>
      </w:r>
      <w:r>
        <w:t xml:space="preserve"> </w:t>
      </w:r>
      <w:r>
        <w:t xml:space="preserve">Product-specific Scope 1 emissions were assumed negligible; a full corporate GHG inventory would capture these.</w:t>
      </w:r>
    </w:p>
    <w:bookmarkEnd w:id="41"/>
    <w:bookmarkStart w:id="42" w:name="recommendations-for-reduction"/>
    <w:p>
      <w:pPr>
        <w:pStyle w:val="Heading3"/>
      </w:pPr>
      <w:r>
        <w:t xml:space="preserve">5.3. Recommendations for Reduction</w:t>
      </w:r>
    </w:p>
    <w:p>
      <w:pPr>
        <w:numPr>
          <w:ilvl w:val="0"/>
          <w:numId w:val="1024"/>
        </w:numPr>
        <w:pStyle w:val="Compact"/>
      </w:pPr>
      <w:r>
        <w:rPr>
          <w:bCs/>
          <w:b/>
        </w:rPr>
        <w:t xml:space="preserve">Enhance Use Phase Efficiency:</w:t>
      </w:r>
      <w:r>
        <w:t xml:space="preserve"> </w:t>
      </w:r>
      <w:r>
        <w:t xml:space="preserve">Focus on designing for even lower energy consumption during operation. Explore sleep modes, smart energy management features, and higher energy efficiency ratings.</w:t>
      </w:r>
    </w:p>
    <w:p>
      <w:pPr>
        <w:numPr>
          <w:ilvl w:val="0"/>
          <w:numId w:val="1024"/>
        </w:numPr>
        <w:pStyle w:val="Compact"/>
      </w:pPr>
      <w:r>
        <w:rPr>
          <w:bCs/>
          <w:b/>
        </w:rPr>
        <w:t xml:space="preserve">Material Optimization:</w:t>
      </w:r>
      <w:r>
        <w:t xml:space="preserve"> </w:t>
      </w:r>
      <w:r>
        <w:t xml:space="preserve">Investigate alternative materials for high-impact components (PCB, battery). This could include lower-carbon manufacturing processes, higher recycled content, or bio-based alternatives with verified sustainable sourcing.</w:t>
      </w:r>
    </w:p>
    <w:p>
      <w:pPr>
        <w:numPr>
          <w:ilvl w:val="0"/>
          <w:numId w:val="1024"/>
        </w:numPr>
        <w:pStyle w:val="Compact"/>
      </w:pPr>
      <w:r>
        <w:rPr>
          <w:bCs/>
          <w:b/>
        </w:rPr>
        <w:t xml:space="preserve">Supplier Engagement:</w:t>
      </w:r>
      <w:r>
        <w:t xml:space="preserve"> </w:t>
      </w:r>
      <w:r>
        <w:t xml:space="preserve">Work with key material suppliers to understand and reduce their upstream emissions (e.g., encouraging them to switch to renewable energy or more efficient processes).</w:t>
      </w:r>
    </w:p>
    <w:p>
      <w:pPr>
        <w:numPr>
          <w:ilvl w:val="0"/>
          <w:numId w:val="1024"/>
        </w:numPr>
        <w:pStyle w:val="Compact"/>
      </w:pPr>
      <w:r>
        <w:rPr>
          <w:bCs/>
          <w:b/>
        </w:rPr>
        <w:t xml:space="preserve">Logistics Optimization:</w:t>
      </w:r>
      <w:r>
        <w:t xml:space="preserve"> </w:t>
      </w:r>
      <w:r>
        <w:t xml:space="preserve">Continuously optimize transport routes, modes (e.g., shifting from air freight to sea/rail where feasible), and consolidate shipments to reduce per-unit transportation emissions.</w:t>
      </w:r>
    </w:p>
    <w:p>
      <w:pPr>
        <w:numPr>
          <w:ilvl w:val="0"/>
          <w:numId w:val="1024"/>
        </w:numPr>
        <w:pStyle w:val="Compact"/>
      </w:pPr>
      <w:r>
        <w:rPr>
          <w:bCs/>
          <w:b/>
        </w:rPr>
        <w:t xml:space="preserve">Expand Circularity:</w:t>
      </w:r>
      <w:r>
        <w:t xml:space="preserve"> </w:t>
      </w:r>
      <w:r>
        <w:t xml:space="preserve">Continue to strengthen take-back and recycling programs, exploring product-as-a-service models or advanced material recovery technologies to maximize circularity beyond the 80% recyclability.</w:t>
      </w:r>
    </w:p>
    <w:p>
      <w:r>
        <w:pict>
          <v:rect style="width:0;height:1.5pt" o:hralign="center" o:hrstd="t" o:hr="t"/>
        </w:pic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lhhwdsxepv</dc:title>
  <dc:creator/>
  <dc:description>High-detail Product Carbon Footprint (PCF) analysis for product lhhwdsxepv, performed by ftsxmlkymf for ktfvzppnjd, adhering to GHG Protocol standards and 2026 LSR updates.</dc:description>
  <dc:language>en</dc:language>
  <cp:keywords/>
  <dcterms:created xsi:type="dcterms:W3CDTF">2026-07-15T09:10:14Z</dcterms:created>
  <dcterms:modified xsi:type="dcterms:W3CDTF">2026-07-15T09:10:14Z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