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lfqrurvvll</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lfqrurvvll"/>
    <w:p>
      <w:pPr>
        <w:pStyle w:val="Heading2"/>
      </w:pPr>
      <w:r>
        <w:t xml:space="preserve">For Product: lfqrurvvll</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qoygevikgh</w:t>
      </w:r>
    </w:p>
    <w:p>
      <w:pPr>
        <w:pStyle w:val="BodyText"/>
      </w:pPr>
      <w:r>
        <w:rPr>
          <w:bCs/>
          <w:b/>
        </w:rPr>
        <w:t xml:space="preserve">Senior Sustainability Consultant:</w:t>
      </w:r>
      <w:r>
        <w:t xml:space="preserve"> </w:t>
      </w:r>
      <w:r>
        <w:t xml:space="preserve">uiwspwovru</w:t>
      </w:r>
    </w:p>
    <w:p>
      <w:pPr>
        <w:pStyle w:val="BodyText"/>
      </w:pPr>
      <w:r>
        <w:t xml:space="preserve">Disclaimer: This report is generated based on available data and industry standards, providing an estimate of the product\'s carbon footprint. Actual emissions may vary based on real-world conditions and further granular data.</w:t>
      </w:r>
    </w:p>
    <w:bookmarkEnd w:id="20"/>
    <w:bookmarkEnd w:id="21"/>
    <w:bookmarkStart w:id="22" w:name="X0da431aef6feece5464c5bf1a2d56088e4e194d"/>
    <w:p>
      <w:pPr>
        <w:pStyle w:val="Heading1"/>
      </w:pPr>
      <w:r>
        <w:t xml:space="preserve">Product Carbon Footprint Report for lfqrurvvll</w:t>
      </w:r>
    </w:p>
    <w:p>
      <w:pPr>
        <w:pStyle w:val="FirstParagraph"/>
      </w:pPr>
      <w:r>
        <w:t xml:space="preserve">Generated Date: June 1,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detailed Product Carbon Footprint (PCF) analysis for lfqrurvvll, manufactured by qoygevikgh. The analysis, conducted by uiwspwovru, Senior Sustainability Consultant, adheres strictly to the GHG Protocol accounting standard, incorporating the 2026 Land Sector and Removals (LSR) Standard update and ensuring over 95% Scope 3 coverage. The primary goal is to quantify the greenhouse gas emissions across the product\'s lifecycle, identify emission hotspots, and provide actionable insights for sustainability improvements. This comprehensive assessment covers raw material acquisition, manufacturing, transportation, the use phase, and end-of-life scenarios, providing a robust foundation for environmental performance management.</w:t>
      </w:r>
    </w:p>
    <w:bookmarkEnd w:id="23"/>
    <w:p>
      <w:r>
        <w:pict>
          <v:rect style="width:0;height:1.5pt" o:hralign="center" o:hrstd="t" o:hr="t"/>
        </w:pict>
      </w:r>
    </w:p>
    <w:bookmarkStart w:id="33" w:name="methodology"/>
    <w:bookmarkStart w:id="32" w:name="methodology-and-scope-definition"/>
    <w:p>
      <w:pPr>
        <w:pStyle w:val="Heading2"/>
      </w:pPr>
      <w:r>
        <w:t xml:space="preserve">Methodology and Scope Definition</w:t>
      </w:r>
    </w:p>
    <w:p>
      <w:pPr>
        <w:pStyle w:val="FirstParagraph"/>
      </w:pPr>
      <w:r>
        <w:t xml:space="preserve">The Product Carbon Footprint (PCF) analysis for lfqrurvvll follows a five-step methodology, fully compliant with the GHG Protocol\'s Product Standard and incorporating recent updates for land use and removals.</w:t>
      </w:r>
    </w:p>
    <w:bookmarkStart w:id="24"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lfqrurvvll. This unit serves as the reference basis for quantifying all relevant inputs and outputs throughout the product\'s lifecycle.</w:t>
      </w:r>
    </w:p>
    <w:p>
      <w:pPr>
        <w:numPr>
          <w:ilvl w:val="0"/>
          <w:numId w:val="1001"/>
        </w:numPr>
        <w:pStyle w:val="Compact"/>
      </w:pPr>
      <w:r>
        <w:rPr>
          <w:bCs/>
          <w:b/>
        </w:rPr>
        <w:t xml:space="preserve">System Boundary:</w:t>
      </w:r>
      <w:r>
        <w:t xml:space="preserve"> </w:t>
      </w:r>
      <w:r>
        <w:t xml:space="preserve">The system boundary adopted is</w:t>
      </w:r>
      <w:r>
        <w:t xml:space="preserve"> </w:t>
      </w:r>
      <w:r>
        <w:rPr>
          <w:bCs/>
          <w:b/>
        </w:rPr>
        <w:t xml:space="preserve">\'factory_gate\'</w:t>
      </w:r>
      <w:r>
        <w:t xml:space="preserve">, which means a "Cradle-to-Gate" assessment focusing on emissions from raw material acquisition, manufacturing, and transport to the factory gate. However, to provide a more holistic view as per industry best practices and specific parameters, the analysis extends to include the "Use Phase" and "End-of-Life" (EoL) scenarios, effectively broadening to a "Cradle-to-Grave" perspective for comprehensive impact assessment.</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 primary</w:t>
      </w:r>
      <w:r>
        <w:t xml:space="preserve"> </w:t>
      </w:r>
      <w:r>
        <w:rPr>
          <w:bCs/>
          <w:b/>
        </w:rPr>
        <w:t xml:space="preserve">Supply Chain Focus on Europe</w:t>
      </w:r>
      <w:r>
        <w:t xml:space="preserve">. This geographical delineation guides the selection of relevant emission factors for energy grids, transportation, and material sourcing.</w:t>
      </w:r>
    </w:p>
    <w:p>
      <w:pPr>
        <w:numPr>
          <w:ilvl w:val="0"/>
          <w:numId w:val="1001"/>
        </w:numPr>
        <w:pStyle w:val="Compact"/>
      </w:pPr>
      <w:r>
        <w:rPr>
          <w:bCs/>
          <w:b/>
        </w:rPr>
        <w:t xml:space="preserve">Allocation:</w:t>
      </w:r>
      <w:r>
        <w:t xml:space="preserve"> </w:t>
      </w:r>
      <w:r>
        <w:t xml:space="preserve">Emissions are allocated directly to the functional unit. In cases of co-products or waste streams, the GHG Protocol Product Standard prioritizes avoiding allocation where possible through process subdivision or system expansion. If unavoidable, physical or economic allocation methods are applied to ensure fair distribution of environmental burdens.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Standard</w:t>
      </w:r>
      <w:r>
        <w:t xml:space="preserve"> </w:t>
      </w:r>
      <w:r>
        <w:t xml:space="preserve">for calculating and reporting greenhouse gas emissions. Furthermore, the</w:t>
      </w:r>
      <w:r>
        <w:t xml:space="preserve"> </w:t>
      </w:r>
      <w:r>
        <w:rPr>
          <w:bCs/>
          <w:b/>
        </w:rPr>
        <w:t xml:space="preserve">2026 Land Sector and Removals (LSR) Standard</w:t>
      </w:r>
      <w:r>
        <w:t xml:space="preserve"> </w:t>
      </w:r>
      <w:r>
        <w:t xml:space="preserve">is applied for accounting for land use change emissions and carbon removals, ensuring up-to-date and comprehensive reporting.</w:t>
      </w:r>
    </w:p>
    <w:p>
      <w:pPr>
        <w:numPr>
          <w:ilvl w:val="0"/>
          <w:numId w:val="1001"/>
        </w:numPr>
        <w:pStyle w:val="Compact"/>
      </w:pPr>
      <w:r>
        <w:rPr>
          <w:bCs/>
          <w:b/>
        </w:rPr>
        <w:t xml:space="preserve">Scope 3 Compliance:</w:t>
      </w:r>
      <w:r>
        <w:t xml:space="preserve"> </w:t>
      </w:r>
      <w:r>
        <w:t xml:space="preserve">A rigorous approach has been taken to ensure at least</w:t>
      </w:r>
      <w:r>
        <w:t xml:space="preserve"> </w:t>
      </w:r>
      <w:r>
        <w:rPr>
          <w:bCs/>
          <w:b/>
        </w:rPr>
        <w:t xml:space="preserve">95% coverage for Scope 3 reporting</w:t>
      </w:r>
      <w:r>
        <w:t xml:space="preserve">, aligning with 2026 requirements for comprehensive value chain emissions. Exclusions will not exceed 5% of required Scope 3 emissions and are quantified, disclosed, and justified.</w:t>
      </w:r>
    </w:p>
    <w:bookmarkEnd w:id="24"/>
    <w:bookmarkStart w:id="25" w:name="map-lifecycle-lci-inventory-stages"/>
    <w:p>
      <w:pPr>
        <w:pStyle w:val="Heading3"/>
      </w:pPr>
      <w:r>
        <w:t xml:space="preserve">2. Map Lifecycle (LCI Inventory Stages)</w:t>
      </w:r>
    </w:p>
    <w:p>
      <w:pPr>
        <w:pStyle w:val="FirstParagraph"/>
      </w:pPr>
      <w:r>
        <w:t xml:space="preserve">The lifecycle of lfqrurvvll has been mapped into the following stages, facilitating a detailed Life Cycle Inventory (LCI) data collection:</w:t>
      </w:r>
    </w:p>
    <w:p>
      <w:pPr>
        <w:numPr>
          <w:ilvl w:val="0"/>
          <w:numId w:val="1002"/>
        </w:numPr>
        <w:pStyle w:val="Compact"/>
      </w:pPr>
      <w:r>
        <w:rPr>
          <w:bCs/>
          <w:b/>
        </w:rPr>
        <w:t xml:space="preserve">Raw Material Acquisition &amp; Pre-processing:</w:t>
      </w:r>
      <w:r>
        <w:t xml:space="preserve"> </w:t>
      </w:r>
      <w:r>
        <w:t xml:space="preserve">Extraction, processing, and refining of all virgin and recycled materials comprising the Detailed Bill of Materials (BOM).</w:t>
      </w:r>
    </w:p>
    <w:p>
      <w:pPr>
        <w:numPr>
          <w:ilvl w:val="0"/>
          <w:numId w:val="1002"/>
        </w:numPr>
        <w:pStyle w:val="Compact"/>
      </w:pPr>
      <w:r>
        <w:rPr>
          <w:bCs/>
          <w:b/>
        </w:rPr>
        <w:t xml:space="preserve">Manufacturing/Production:</w:t>
      </w:r>
      <w:r>
        <w:t xml:space="preserve"> </w:t>
      </w:r>
      <w:r>
        <w:t xml:space="preserve">All energy consumption and process emissions occurring at the qoygevikgh production facility in China, including assembly, forming, and finishing.</w:t>
      </w:r>
    </w:p>
    <w:p>
      <w:pPr>
        <w:numPr>
          <w:ilvl w:val="0"/>
          <w:numId w:val="1002"/>
        </w:numPr>
        <w:pStyle w:val="Compact"/>
      </w:pPr>
      <w:r>
        <w:rPr>
          <w:bCs/>
          <w:b/>
        </w:rPr>
        <w:t xml:space="preserve">Transportation (to Factory Gate):</w:t>
      </w:r>
      <w:r>
        <w:t xml:space="preserve"> </w:t>
      </w:r>
      <w:r>
        <w:t xml:space="preserve">Logistics of materials and components from European suppliers to the manufacturing facility in China, and subsequently to the distribution center.</w:t>
      </w:r>
    </w:p>
    <w:p>
      <w:pPr>
        <w:numPr>
          <w:ilvl w:val="0"/>
          <w:numId w:val="1002"/>
        </w:numPr>
        <w:pStyle w:val="Compact"/>
      </w:pPr>
      <w:r>
        <w:rPr>
          <w:bCs/>
          <w:b/>
        </w:rPr>
        <w:t xml:space="preserve">Use Phase:</w:t>
      </w:r>
      <w:r>
        <w:t xml:space="preserve"> </w:t>
      </w:r>
      <w:r>
        <w:t xml:space="preserve">Energy consumption during the anticipated operational lifespan of the product by the end-user.</w:t>
      </w:r>
    </w:p>
    <w:p>
      <w:pPr>
        <w:numPr>
          <w:ilvl w:val="0"/>
          <w:numId w:val="1002"/>
        </w:numPr>
        <w:pStyle w:val="Compact"/>
      </w:pPr>
      <w:r>
        <w:rPr>
          <w:bCs/>
          <w:b/>
        </w:rPr>
        <w:t xml:space="preserve">End-of-Life (EoL):</w:t>
      </w:r>
      <w:r>
        <w:t xml:space="preserve"> </w:t>
      </w:r>
      <w:r>
        <w:t xml:space="preserve">Emissions associated with disposal (landfilling, incineration) and credits/avoided emissions from recycling and circular economy initiatives.</w:t>
      </w:r>
    </w:p>
    <w:bookmarkEnd w:id="25"/>
    <w:bookmarkStart w:id="31" w:name="Xb57f50a89bf1f3f1837369be949d9d60d6c1272"/>
    <w:p>
      <w:pPr>
        <w:pStyle w:val="Heading3"/>
      </w:pPr>
      <w:r>
        <w:t xml:space="preserve">3. Collect Data (Primary/Secondary Data Points)</w:t>
      </w:r>
    </w:p>
    <w:p>
      <w:pPr>
        <w:pStyle w:val="FirstParagraph"/>
      </w:pPr>
      <w:r>
        <w:t xml:space="preserve">Data collection involved a blend of primary data provided by qoygevikgh and secondary data from established databases for generic processes and emission factors. All data points are crucial for accurate calculation.</w:t>
      </w:r>
    </w:p>
    <w:bookmarkStart w:id="26" w:name="Xe4bfa130ac367f2dfefe913a634d67db37e02d5"/>
    <w:p>
      <w:pPr>
        <w:pStyle w:val="Heading4"/>
      </w:pPr>
      <w:r>
        <w:t xml:space="preserve">Detailed Bill of Materials (BOM) for lfqrurvvll</w:t>
      </w:r>
    </w:p>
    <w:p>
      <w:pPr>
        <w:pStyle w:val="FirstParagraph"/>
      </w:pPr>
      <w:r>
        <w:t xml:space="preserve">The following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bl>
    <w:bookmarkEnd w:id="26"/>
    <w:bookmarkStart w:id="27" w:name="logistics-data"/>
    <w:p>
      <w:pPr>
        <w:pStyle w:val="Heading4"/>
      </w:pPr>
      <w:r>
        <w:t xml:space="preserve">Logistics Data</w:t>
      </w:r>
    </w:p>
    <w:p>
      <w:pPr>
        <w:numPr>
          <w:ilvl w:val="0"/>
          <w:numId w:val="1003"/>
        </w:numPr>
        <w:pStyle w:val="Compact"/>
      </w:pPr>
      <w:r>
        <w:rPr>
          <w:bCs/>
          <w:b/>
        </w:rPr>
        <w:t xml:space="preserve">Primary Transport Mode (Supply Chain Focus: Europe to China):</w:t>
      </w:r>
      <w:r>
        <w:t xml:space="preserve"> </w:t>
      </w:r>
      <w:r>
        <w:t xml:space="preserve">Select Mode (For illustrative calculation, assumed as Ocean Freight)</w:t>
      </w:r>
    </w:p>
    <w:p>
      <w:pPr>
        <w:numPr>
          <w:ilvl w:val="0"/>
          <w:numId w:val="1003"/>
        </w:numPr>
        <w:pStyle w:val="Compact"/>
      </w:pPr>
      <w:r>
        <w:rPr>
          <w:bCs/>
          <w:b/>
        </w:rPr>
        <w:t xml:space="preserve">Primary Transport Distance (Overall Supply Chain):</w:t>
      </w:r>
      <w:r>
        <w:t xml:space="preserve"> </w:t>
      </w:r>
      <w:r>
        <w:t xml:space="preserve">vujxxnexdz (For illustrative calculation, assumed as 15,000 km)</w:t>
      </w:r>
    </w:p>
    <w:p>
      <w:pPr>
        <w:numPr>
          <w:ilvl w:val="0"/>
          <w:numId w:val="1003"/>
        </w:numPr>
        <w:pStyle w:val="Compact"/>
      </w:pPr>
      <w:r>
        <w:rPr>
          <w:bCs/>
          <w:b/>
        </w:rPr>
        <w:t xml:space="preserve">Last-Mile Delivery Channel (to End-User):</w:t>
      </w:r>
      <w:r>
        <w:t xml:space="preserve"> </w:t>
      </w:r>
      <w:r>
        <w:t xml:space="preserve">Delivery Type (For illustrative calculation, assumed as Road Van)</w:t>
      </w:r>
    </w:p>
    <w:bookmarkEnd w:id="27"/>
    <w:bookmarkStart w:id="28" w:name="production-energy-customization-data"/>
    <w:p>
      <w:pPr>
        <w:pStyle w:val="Heading4"/>
      </w:pPr>
      <w:r>
        <w:t xml:space="preserve">Production Energy Customization Data</w:t>
      </w:r>
    </w:p>
    <w:p>
      <w:pPr>
        <w:numPr>
          <w:ilvl w:val="0"/>
          <w:numId w:val="1004"/>
        </w:numPr>
        <w:pStyle w:val="Compact"/>
      </w:pPr>
      <w:r>
        <w:rPr>
          <w:bCs/>
          <w:b/>
        </w:rPr>
        <w:t xml:space="preserve">Renewable Energy Usage at Production Facility:</w:t>
      </w:r>
      <w:r>
        <w:t xml:space="preserve"> </w:t>
      </w:r>
      <w:r>
        <w:t xml:space="preserve">qduzkzfxgk (For illustrative calculation, assumed as 40%)</w:t>
      </w:r>
    </w:p>
    <w:p>
      <w:pPr>
        <w:numPr>
          <w:ilvl w:val="0"/>
          <w:numId w:val="1004"/>
        </w:numPr>
        <w:pStyle w:val="Compact"/>
      </w:pPr>
      <w:r>
        <w:rPr>
          <w:bCs/>
          <w:b/>
        </w:rPr>
        <w:t xml:space="preserve">Energy Intensity (Electricity) for Production:</w:t>
      </w:r>
      <w:r>
        <w:t xml:space="preserve"> </w:t>
      </w:r>
      <w:r>
        <w:t xml:space="preserve">xhgnegujys (For illustrative calculation, assumed as 15 kWh/unit)</w:t>
      </w:r>
    </w:p>
    <w:bookmarkEnd w:id="28"/>
    <w:bookmarkStart w:id="29" w:name="X1ba14a67a329254cce30ddbf9878601bb9c0fa0"/>
    <w:p>
      <w:pPr>
        <w:pStyle w:val="Heading4"/>
      </w:pPr>
      <w:r>
        <w:t xml:space="preserve">Use Phase Durability and Consumption Data</w:t>
      </w:r>
    </w:p>
    <w:p>
      <w:pPr>
        <w:numPr>
          <w:ilvl w:val="0"/>
          <w:numId w:val="1005"/>
        </w:numPr>
        <w:pStyle w:val="Compact"/>
      </w:pPr>
      <w:r>
        <w:rPr>
          <w:bCs/>
          <w:b/>
        </w:rPr>
        <w:t xml:space="preserve">Product Lifespan:</w:t>
      </w:r>
      <w:r>
        <w:t xml:space="preserve"> </w:t>
      </w:r>
      <w:r>
        <w:t xml:space="preserve">zjpjdniogi (For illustrative calculation, assumed as 5 years)</w:t>
      </w:r>
    </w:p>
    <w:p>
      <w:pPr>
        <w:numPr>
          <w:ilvl w:val="0"/>
          <w:numId w:val="1005"/>
        </w:numPr>
        <w:pStyle w:val="Compact"/>
      </w:pPr>
      <w:r>
        <w:rPr>
          <w:bCs/>
          <w:b/>
        </w:rPr>
        <w:t xml:space="preserve">Energy Consumption in Use:</w:t>
      </w:r>
      <w:r>
        <w:t xml:space="preserve"> </w:t>
      </w:r>
      <w:r>
        <w:t xml:space="preserve">ygkqjpxpzw (For illustrative calculation, assumed as 10 kWh/year)</w:t>
      </w:r>
    </w:p>
    <w:bookmarkEnd w:id="29"/>
    <w:bookmarkStart w:id="30" w:name="end-of-life-eol-scenarios"/>
    <w:p>
      <w:pPr>
        <w:pStyle w:val="Heading4"/>
      </w:pPr>
      <w:r>
        <w:t xml:space="preserve">End-of-Life (EoL) Scenarios</w:t>
      </w:r>
    </w:p>
    <w:p>
      <w:pPr>
        <w:numPr>
          <w:ilvl w:val="0"/>
          <w:numId w:val="1006"/>
        </w:numPr>
        <w:pStyle w:val="Compact"/>
      </w:pPr>
      <w:r>
        <w:rPr>
          <w:bCs/>
          <w:b/>
        </w:rPr>
        <w:t xml:space="preserve">Recyclability Percentage:</w:t>
      </w:r>
      <w:r>
        <w:t xml:space="preserve"> </w:t>
      </w:r>
      <w:r>
        <w:t xml:space="preserve">euonyejjrl (For illustrative calculation, assumed as 70%)</w:t>
      </w:r>
    </w:p>
    <w:p>
      <w:pPr>
        <w:numPr>
          <w:ilvl w:val="0"/>
          <w:numId w:val="1006"/>
        </w:numPr>
        <w:pStyle w:val="Compact"/>
      </w:pPr>
      <w:r>
        <w:rPr>
          <w:bCs/>
          <w:b/>
        </w:rPr>
        <w:t xml:space="preserve">Circular/Take-back Programs:</w:t>
      </w:r>
      <w:r>
        <w:t xml:space="preserve"> </w:t>
      </w:r>
      <w:r>
        <w:t xml:space="preserve">pnxkxetpji (For illustrative calculation, assumed as "Established programs are in place")</w:t>
      </w:r>
    </w:p>
    <w:bookmarkEnd w:id="30"/>
    <w:bookmarkEnd w:id="31"/>
    <w:bookmarkEnd w:id="32"/>
    <w:bookmarkEnd w:id="33"/>
    <w:p>
      <w:r>
        <w:pict>
          <v:rect style="width:0;height:1.5pt" o:hralign="center" o:hrstd="t" o:hr="t"/>
        </w:pict>
      </w:r>
    </w:p>
    <w:bookmarkStart w:id="46" w:name="emissions-calculation"/>
    <w:bookmarkStart w:id="45" w:name="Xb404f6bea4a0013006ec7a9103609d9ea6643c1"/>
    <w:p>
      <w:pPr>
        <w:pStyle w:val="Heading2"/>
      </w:pPr>
      <w:r>
        <w:t xml:space="preserve">4. Calculate Emissions (Activity * Emission Factor = CO2e)</w:t>
      </w:r>
    </w:p>
    <w:p>
      <w:pPr>
        <w:pStyle w:val="FirstParagraph"/>
      </w:pPr>
      <w:r>
        <w:t xml:space="preserve">Emissions are calculated by multiplying activity data (e.g., material quantity, energy consumed, distance traveled) by relevant emission factors (EFs). This analysis categorizes emissions according to the GHG Protocol into Scope 1, Scope 2, and Scope 3, with a particular focus on achieving 95% Scope 3 coverage. Illustrative emission factors based on industry averages (e.g., Ecoinvent/DEFRA data where specific values are not provided) are used for demonstration purposes. Actual values would require specific database lookups.</w:t>
      </w:r>
    </w:p>
    <w:bookmarkStart w:id="34" w:name="scope-1-direct-emissions"/>
    <w:p>
      <w:pPr>
        <w:pStyle w:val="Heading3"/>
      </w:pPr>
      <w:r>
        <w:t xml:space="preserve">Scope 1: Direct Emissions</w:t>
      </w:r>
    </w:p>
    <w:p>
      <w:pPr>
        <w:pStyle w:val="FirstParagraph"/>
      </w:pPr>
      <w:r>
        <w:t xml:space="preserve">Direct GHG emissions from sources owned or controlled by qoygevikgh (e.g., on-site fuel combustion). For the \'factory_gate\' boundary, significant Scope 1 emissions might arise from manufacturing processes not powered by purchased electricity. Given the provided parameters, direct combustion for heating or specific industrial processes within the factory is assumed to be negligible or covered under process emissions for material transformation, which are integrated into the BOM\'s \'Total Carbon\' or electricity usage. Thus, for this PCF, significant direct Scope 1 emissions are not explicitly detailed beyond what\'s inherent in material processing, aligning with the "factory_gate" perspective predominantly focusing on the product\'s embedded emissions.</w:t>
      </w:r>
    </w:p>
    <w:bookmarkEnd w:id="34"/>
    <w:bookmarkStart w:id="35" w:name="scope-2-energy-indirect-emissions"/>
    <w:p>
      <w:pPr>
        <w:pStyle w:val="Heading3"/>
      </w:pPr>
      <w:r>
        <w:t xml:space="preserve">Scope 2: Energy Indirect Emissions</w:t>
      </w:r>
    </w:p>
    <w:p>
      <w:pPr>
        <w:pStyle w:val="FirstParagraph"/>
      </w:pPr>
      <w:r>
        <w:t xml:space="preserve">Indirect GHG emissions from the generation of purchased electricity consumed by qoygevikgh\'s manufacturing operations.</w:t>
      </w:r>
    </w:p>
    <w:p>
      <w:pPr>
        <w:numPr>
          <w:ilvl w:val="0"/>
          <w:numId w:val="1007"/>
        </w:numPr>
        <w:pStyle w:val="Compact"/>
      </w:pPr>
      <w:r>
        <w:rPr>
          <w:bCs/>
          <w:b/>
        </w:rPr>
        <w:t xml:space="preserve">Total Production Energy:</w:t>
      </w:r>
      <w:r>
        <w:t xml:space="preserve"> </w:t>
      </w:r>
      <w:r>
        <w:t xml:space="preserve">xhgnegujys = 15 kWh/unit</w:t>
      </w:r>
    </w:p>
    <w:p>
      <w:pPr>
        <w:numPr>
          <w:ilvl w:val="0"/>
          <w:numId w:val="1007"/>
        </w:numPr>
        <w:pStyle w:val="Compact"/>
      </w:pPr>
      <w:r>
        <w:rPr>
          <w:bCs/>
          <w:b/>
        </w:rPr>
        <w:t xml:space="preserve">Renewable Energy Usage:</w:t>
      </w:r>
      <w:r>
        <w:t xml:space="preserve"> </w:t>
      </w:r>
      <w:r>
        <w:t xml:space="preserve">qduzkzfxgk = 40%</w:t>
      </w:r>
    </w:p>
    <w:p>
      <w:pPr>
        <w:numPr>
          <w:ilvl w:val="0"/>
          <w:numId w:val="1007"/>
        </w:numPr>
        <w:pStyle w:val="Compact"/>
      </w:pPr>
      <w:r>
        <w:rPr>
          <w:bCs/>
          <w:b/>
        </w:rPr>
        <w:t xml:space="preserve">Non-Renewable Energy Usage:</w:t>
      </w:r>
      <w:r>
        <w:t xml:space="preserve"> </w:t>
      </w:r>
      <w:r>
        <w:t xml:space="preserve">15 kWh/unit * (1 - 0.40) = 9 kWh/unit</w:t>
      </w:r>
    </w:p>
    <w:p>
      <w:pPr>
        <w:numPr>
          <w:ilvl w:val="0"/>
          <w:numId w:val="1007"/>
        </w:numPr>
        <w:pStyle w:val="Compact"/>
      </w:pPr>
      <w:r>
        <w:rPr>
          <w:bCs/>
          <w:b/>
        </w:rPr>
        <w:t xml:space="preserve">Illustrative Emission Factor for China Electricity Grid Mix:</w:t>
      </w:r>
      <w:r>
        <w:t xml:space="preserve"> </w:t>
      </w:r>
      <w:r>
        <w:t xml:space="preserve">~0.6205 kg CO2e/kWh (China national average electricity carbon footprint factor for 2023)</w:t>
      </w:r>
    </w:p>
    <w:p>
      <w:pPr>
        <w:numPr>
          <w:ilvl w:val="0"/>
          <w:numId w:val="1007"/>
        </w:numPr>
        <w:pStyle w:val="Compact"/>
      </w:pPr>
      <w:r>
        <w:rPr>
          <w:bCs/>
          <w:b/>
        </w:rPr>
        <w:t xml:space="preserve">Scope 2 Emissions =</w:t>
      </w:r>
      <w:r>
        <w:t xml:space="preserve"> </w:t>
      </w:r>
      <w:r>
        <w:t xml:space="preserve">9 kWh/unit * 0.6205 kg CO2e/kWh = 5.58 kg CO2e/unit</w:t>
      </w:r>
    </w:p>
    <w:bookmarkEnd w:id="35"/>
    <w:bookmarkStart w:id="43" w:name="Xd1c2b652bc5876514f180a21f002993b8de8e83"/>
    <w:p>
      <w:pPr>
        <w:pStyle w:val="Heading3"/>
      </w:pPr>
      <w:r>
        <w:t xml:space="preserve">Scope 3: Other Indirect Emissions (Value Chain)</w:t>
      </w:r>
    </w:p>
    <w:p>
      <w:pPr>
        <w:pStyle w:val="FirstParagraph"/>
      </w:pPr>
      <w:r>
        <w:t xml:space="preserve">This category covers all other indirect emissions both upstream and downstream, ensuring more than 95% coverage as per 2026 requirements. This includes raw materials, transportation, use-phase, and end-of-life.</w:t>
      </w:r>
    </w:p>
    <w:bookmarkStart w:id="38" w:name="upstream-emissions"/>
    <w:p>
      <w:pPr>
        <w:pStyle w:val="Heading4"/>
      </w:pPr>
      <w:r>
        <w:t xml:space="preserve">3.1. Upstream Emissions</w:t>
      </w:r>
    </w:p>
    <w:bookmarkStart w:id="36" w:name="Xd6ef2acf3700fa10afb1c7deefed15bfd928f1f"/>
    <w:p>
      <w:pPr>
        <w:pStyle w:val="Heading5"/>
      </w:pPr>
      <w:r>
        <w:t xml:space="preserve">Materials (Category 1: Purchased Goods and Services)</w:t>
      </w:r>
    </w:p>
    <w:p>
      <w:pPr>
        <w:pStyle w:val="FirstParagraph"/>
      </w:pPr>
      <w:r>
        <w:t xml:space="preserve">Calculated directly from the provided Detailed Bill of Materials (BOM), summing the \'Total Carbon\' values.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6.0</w:t>
            </w:r>
          </w:p>
        </w:tc>
      </w:tr>
      <w:tr>
        <w:tc>
          <w:tcPr/>
          <w:p>
            <w:pPr>
              <w:pStyle w:val="Compact"/>
              <w:jc w:val="left"/>
            </w:pPr>
            <w:r>
              <w:t xml:space="preserve">Plastic Enclosure</w:t>
            </w:r>
          </w:p>
        </w:tc>
        <w:tc>
          <w:tcPr/>
          <w:p>
            <w:pPr>
              <w:pStyle w:val="Compact"/>
              <w:jc w:val="left"/>
            </w:pPr>
            <w:r>
              <w:t xml:space="preserve">1.05</w:t>
            </w:r>
          </w:p>
        </w:tc>
      </w:tr>
      <w:tr>
        <w:tc>
          <w:tcPr/>
          <w:p>
            <w:pPr>
              <w:pStyle w:val="Compact"/>
              <w:jc w:val="left"/>
            </w:pPr>
            <w:r>
              <w:t xml:space="preserve">Circuit Board</w:t>
            </w:r>
          </w:p>
        </w:tc>
        <w:tc>
          <w:tcPr/>
          <w:p>
            <w:pPr>
              <w:pStyle w:val="Compact"/>
              <w:jc w:val="left"/>
            </w:pPr>
            <w:r>
              <w:t xml:space="preserve">1.5</w:t>
            </w:r>
          </w:p>
        </w:tc>
      </w:tr>
      <w:tr>
        <w:tc>
          <w:tcPr/>
          <w:p>
            <w:pPr>
              <w:pStyle w:val="Compact"/>
              <w:jc w:val="left"/>
            </w:pPr>
            <w:r>
              <w:t xml:space="preserve">Copper Wire</w:t>
            </w:r>
          </w:p>
        </w:tc>
        <w:tc>
          <w:tcPr/>
          <w:p>
            <w:pPr>
              <w:pStyle w:val="Compact"/>
              <w:jc w:val="left"/>
            </w:pPr>
            <w:r>
              <w:t xml:space="preserve">0.4</w:t>
            </w:r>
          </w:p>
        </w:tc>
      </w:tr>
      <w:tr>
        <w:tc>
          <w:tcPr/>
          <w:p>
            <w:pPr>
              <w:pStyle w:val="Compact"/>
              <w:jc w:val="left"/>
            </w:pPr>
            <w:r>
              <w:t xml:space="preserve">Packaging (Cardboard)</w:t>
            </w:r>
          </w:p>
        </w:tc>
        <w:tc>
          <w:tcPr/>
          <w:p>
            <w:pPr>
              <w:pStyle w:val="Compact"/>
              <w:jc w:val="left"/>
            </w:pPr>
            <w:r>
              <w:t xml:space="preserve">0.24</w:t>
            </w:r>
          </w:p>
        </w:tc>
      </w:tr>
      <w:tr>
        <w:tc>
          <w:tcPr/>
          <w:p>
            <w:pPr>
              <w:pStyle w:val="Compact"/>
              <w:jc w:val="left"/>
            </w:pPr>
            <w:r>
              <w:rPr>
                <w:bCs/>
                <w:b/>
              </w:rPr>
              <w:t xml:space="preserve">Subtotal Materials</w:t>
            </w:r>
          </w:p>
        </w:tc>
        <w:tc>
          <w:tcPr/>
          <w:p>
            <w:pPr>
              <w:pStyle w:val="Compact"/>
              <w:jc w:val="left"/>
            </w:pPr>
            <w:r>
              <w:rPr>
                <w:bCs/>
                <w:b/>
              </w:rPr>
              <w:t xml:space="preserve">9.19</w:t>
            </w:r>
          </w:p>
        </w:tc>
      </w:tr>
    </w:tbl>
    <w:bookmarkEnd w:id="36"/>
    <w:bookmarkStart w:id="37" w:name="X7784c8d412a2d3c2b3f8c3693a890f450cd4218"/>
    <w:p>
      <w:pPr>
        <w:pStyle w:val="Heading5"/>
      </w:pPr>
      <w:r>
        <w:t xml:space="preserve">Transportation (Category 4: Upstream Transportation and Distribution)</w:t>
      </w:r>
    </w:p>
    <w:p>
      <w:pPr>
        <w:pStyle w:val="FirstParagraph"/>
      </w:pPr>
      <w:r>
        <w:t xml:space="preserve">Emissions from transporting raw materials and components from Europe to the production facility in China. Calculations are based on assumed transport modes and the given distance.</w:t>
      </w:r>
    </w:p>
    <w:p>
      <w:pPr>
        <w:numPr>
          <w:ilvl w:val="0"/>
          <w:numId w:val="1008"/>
        </w:numPr>
        <w:pStyle w:val="Compact"/>
      </w:pPr>
      <w:r>
        <w:rPr>
          <w:bCs/>
          <w:b/>
        </w:rPr>
        <w:t xml:space="preserve">Primary Mode:</w:t>
      </w:r>
      <w:r>
        <w:t xml:space="preserve"> </w:t>
      </w:r>
      <w:r>
        <w:t xml:space="preserve">Select Mode (For illustrative calculation, assumed as Ocean Freight)</w:t>
      </w:r>
    </w:p>
    <w:p>
      <w:pPr>
        <w:numPr>
          <w:ilvl w:val="0"/>
          <w:numId w:val="1008"/>
        </w:numPr>
        <w:pStyle w:val="Compact"/>
      </w:pPr>
      <w:r>
        <w:rPr>
          <w:bCs/>
          <w:b/>
        </w:rPr>
        <w:t xml:space="preserve">Distance:</w:t>
      </w:r>
      <w:r>
        <w:t xml:space="preserve"> </w:t>
      </w:r>
      <w:r>
        <w:t xml:space="preserve">vujxxnexdz = 15,000 km</w:t>
      </w:r>
    </w:p>
    <w:p>
      <w:pPr>
        <w:numPr>
          <w:ilvl w:val="0"/>
          <w:numId w:val="1008"/>
        </w:numPr>
        <w:pStyle w:val="Compact"/>
      </w:pPr>
      <w:r>
        <w:rPr>
          <w:bCs/>
          <w:b/>
        </w:rPr>
        <w:t xml:space="preserve">Assumed Payload per unit:</w:t>
      </w:r>
      <w:r>
        <w:t xml:space="preserve"> </w:t>
      </w:r>
      <w:r>
        <w:t xml:space="preserve">Approx. 1.15 kg (total weight of BOM items: 0.5+0.3+0.1+0.05+0.2 = 1.15 kg)</w:t>
      </w:r>
    </w:p>
    <w:p>
      <w:pPr>
        <w:numPr>
          <w:ilvl w:val="0"/>
          <w:numId w:val="1008"/>
        </w:numPr>
        <w:pStyle w:val="Compact"/>
      </w:pPr>
      <w:r>
        <w:rPr>
          <w:bCs/>
          <w:b/>
        </w:rPr>
        <w:t xml:space="preserve">Illustrative Emission Factor for Ocean Freight (Container Ship, average):</w:t>
      </w:r>
      <w:r>
        <w:t xml:space="preserve"> </w:t>
      </w:r>
      <w:r>
        <w:t xml:space="preserve">~0.016 kg CO2e/tonne-km (DEFRA/Climatiq average)</w:t>
      </w:r>
    </w:p>
    <w:p>
      <w:pPr>
        <w:numPr>
          <w:ilvl w:val="0"/>
          <w:numId w:val="1008"/>
        </w:numPr>
        <w:pStyle w:val="Compact"/>
      </w:pPr>
      <w:r>
        <w:rPr>
          <w:bCs/>
          <w:b/>
        </w:rPr>
        <w:t xml:space="preserve">Ocean Freight Emissions (Illustrative):</w:t>
      </w:r>
      <w:r>
        <w:t xml:space="preserve"> </w:t>
      </w:r>
      <w:r>
        <w:t xml:space="preserve">(1.15 kg / 1000 kg/tonne) * 15,000 km * 0.016 kg CO2e/tonne-km = 0.276 kg CO2e</w:t>
      </w:r>
    </w:p>
    <w:p>
      <w:pPr>
        <w:numPr>
          <w:ilvl w:val="0"/>
          <w:numId w:val="1008"/>
        </w:numPr>
        <w:pStyle w:val="Compact"/>
      </w:pPr>
      <w:r>
        <w:rPr>
          <w:bCs/>
          <w:b/>
        </w:rPr>
        <w:t xml:space="preserve">Total Upstream Transport Emissions =</w:t>
      </w:r>
      <w:r>
        <w:t xml:space="preserve"> </w:t>
      </w:r>
      <w:r>
        <w:t xml:space="preserve">0.276 kg CO2e</w:t>
      </w:r>
    </w:p>
    <w:bookmarkEnd w:id="37"/>
    <w:bookmarkEnd w:id="38"/>
    <w:bookmarkStart w:id="41" w:name="downstream-emissions"/>
    <w:p>
      <w:pPr>
        <w:pStyle w:val="Heading4"/>
      </w:pPr>
      <w:r>
        <w:t xml:space="preserve">3.2. Downstream Emissions</w:t>
      </w:r>
    </w:p>
    <w:bookmarkStart w:id="39" w:name="X8d12bf184da61ed1b86eb215c14cb92288143a6"/>
    <w:p>
      <w:pPr>
        <w:pStyle w:val="Heading5"/>
      </w:pPr>
      <w:r>
        <w:t xml:space="preserve">Use Phase (Category 11: Use of Sold Products)</w:t>
      </w:r>
    </w:p>
    <w:p>
      <w:pPr>
        <w:pStyle w:val="FirstParagraph"/>
      </w:pPr>
      <w:r>
        <w:t xml:space="preserve">Emissions from the product\'s energy consumption during its lifespan.</w:t>
      </w:r>
    </w:p>
    <w:p>
      <w:pPr>
        <w:numPr>
          <w:ilvl w:val="0"/>
          <w:numId w:val="1009"/>
        </w:numPr>
        <w:pStyle w:val="Compact"/>
      </w:pPr>
      <w:r>
        <w:rPr>
          <w:bCs/>
          <w:b/>
        </w:rPr>
        <w:t xml:space="preserve">Product Lifespan:</w:t>
      </w:r>
      <w:r>
        <w:t xml:space="preserve"> </w:t>
      </w:r>
      <w:r>
        <w:t xml:space="preserve">zjpjdniogi = 5 years</w:t>
      </w:r>
    </w:p>
    <w:p>
      <w:pPr>
        <w:numPr>
          <w:ilvl w:val="0"/>
          <w:numId w:val="1009"/>
        </w:numPr>
        <w:pStyle w:val="Compact"/>
      </w:pPr>
      <w:r>
        <w:rPr>
          <w:bCs/>
          <w:b/>
        </w:rPr>
        <w:t xml:space="preserve">Energy Consumption in Use:</w:t>
      </w:r>
      <w:r>
        <w:t xml:space="preserve"> </w:t>
      </w:r>
      <w:r>
        <w:t xml:space="preserve">ygkqjpxpzw = 10 kWh/year</w:t>
      </w:r>
    </w:p>
    <w:p>
      <w:pPr>
        <w:numPr>
          <w:ilvl w:val="0"/>
          <w:numId w:val="1009"/>
        </w:numPr>
        <w:pStyle w:val="Compact"/>
      </w:pPr>
      <w:r>
        <w:rPr>
          <w:bCs/>
          <w:b/>
        </w:rPr>
        <w:t xml:space="preserve">Total Energy Consumption over Lifespan:</w:t>
      </w:r>
      <w:r>
        <w:t xml:space="preserve"> </w:t>
      </w:r>
      <w:r>
        <w:t xml:space="preserve">5 years * 10 kWh/year = 50 kWh</w:t>
      </w:r>
    </w:p>
    <w:p>
      <w:pPr>
        <w:numPr>
          <w:ilvl w:val="0"/>
          <w:numId w:val="1009"/>
        </w:numPr>
        <w:pStyle w:val="Compact"/>
      </w:pPr>
      <w:r>
        <w:rPr>
          <w:bCs/>
          <w:b/>
        </w:rPr>
        <w:t xml:space="preserve">Illustrative Emission Factor for User Electricity Mix (e.g., Global Average):</w:t>
      </w:r>
      <w:r>
        <w:t xml:space="preserve"> </w:t>
      </w:r>
      <w:r>
        <w:t xml:space="preserve">~0.4 kg CO2e/kWh (A common illustrative value for mixed grids)</w:t>
      </w:r>
    </w:p>
    <w:p>
      <w:pPr>
        <w:numPr>
          <w:ilvl w:val="0"/>
          <w:numId w:val="1009"/>
        </w:numPr>
        <w:pStyle w:val="Compact"/>
      </w:pPr>
      <w:r>
        <w:rPr>
          <w:bCs/>
          <w:b/>
        </w:rPr>
        <w:t xml:space="preserve">Use Phase Emissions =</w:t>
      </w:r>
      <w:r>
        <w:t xml:space="preserve"> </w:t>
      </w:r>
      <w:r>
        <w:t xml:space="preserve">50 kWh * 0.4 kg CO2e/kWh = 20.0 kg CO2e</w:t>
      </w:r>
    </w:p>
    <w:bookmarkEnd w:id="39"/>
    <w:bookmarkStart w:id="40" w:name="Xc4e5496ea9c23c4fd5f1a2af076b5b92fcc73fd"/>
    <w:p>
      <w:pPr>
        <w:pStyle w:val="Heading5"/>
      </w:pPr>
      <w:r>
        <w:t xml:space="preserve">End-of-Life Treatment (Category 12: End-of-Life Treatment of Sold Products)</w:t>
      </w:r>
    </w:p>
    <w:p>
      <w:pPr>
        <w:pStyle w:val="FirstParagraph"/>
      </w:pPr>
      <w:r>
        <w:t xml:space="preserve">Emissions (and potential avoided emissions/credits) associated with the product\'s disposal and recycling.</w:t>
      </w:r>
    </w:p>
    <w:p>
      <w:pPr>
        <w:numPr>
          <w:ilvl w:val="0"/>
          <w:numId w:val="1010"/>
        </w:numPr>
        <w:pStyle w:val="Compact"/>
      </w:pPr>
      <w:r>
        <w:rPr>
          <w:bCs/>
          <w:b/>
        </w:rPr>
        <w:t xml:space="preserve">Product Weight:</w:t>
      </w:r>
      <w:r>
        <w:t xml:space="preserve"> </w:t>
      </w:r>
      <w:r>
        <w:t xml:space="preserve">1.15 kg (from BOM)</w:t>
      </w:r>
    </w:p>
    <w:p>
      <w:pPr>
        <w:numPr>
          <w:ilvl w:val="0"/>
          <w:numId w:val="1010"/>
        </w:numPr>
        <w:pStyle w:val="Compact"/>
      </w:pPr>
      <w:r>
        <w:rPr>
          <w:bCs/>
          <w:b/>
        </w:rPr>
        <w:t xml:space="preserve">Recyclability Percentage:</w:t>
      </w:r>
      <w:r>
        <w:t xml:space="preserve"> </w:t>
      </w:r>
      <w:r>
        <w:t xml:space="preserve">euonyejjrl = 70%</w:t>
      </w:r>
    </w:p>
    <w:p>
      <w:pPr>
        <w:numPr>
          <w:ilvl w:val="0"/>
          <w:numId w:val="1010"/>
        </w:numPr>
        <w:pStyle w:val="Compact"/>
      </w:pPr>
      <w:r>
        <w:rPr>
          <w:bCs/>
          <w:b/>
        </w:rPr>
        <w:t xml:space="preserve">Circular/Take-back Programs:</w:t>
      </w:r>
      <w:r>
        <w:t xml:space="preserve"> </w:t>
      </w:r>
      <w:r>
        <w:t xml:space="preserve">pnxkxetpji = Established programs are in place.</w:t>
      </w:r>
    </w:p>
    <w:p>
      <w:pPr>
        <w:numPr>
          <w:ilvl w:val="0"/>
          <w:numId w:val="1010"/>
        </w:numPr>
        <w:pStyle w:val="Compact"/>
      </w:pPr>
      <w:r>
        <w:rPr>
          <w:bCs/>
          <w:b/>
        </w:rPr>
        <w:t xml:space="preserve">Waste to Landfill/Incineration:</w:t>
      </w:r>
      <w:r>
        <w:t xml:space="preserve"> </w:t>
      </w:r>
      <w:r>
        <w:t xml:space="preserve">1.15 kg * (1 - 0.70) = 0.345 kg</w:t>
      </w:r>
    </w:p>
    <w:p>
      <w:pPr>
        <w:numPr>
          <w:ilvl w:val="0"/>
          <w:numId w:val="1010"/>
        </w:numPr>
        <w:pStyle w:val="Compact"/>
      </w:pPr>
      <w:r>
        <w:rPr>
          <w:bCs/>
          <w:b/>
        </w:rPr>
        <w:t xml:space="preserve">Illustrative EF for Landfill/Incineration (mixed waste):</w:t>
      </w:r>
      <w:r>
        <w:t xml:space="preserve"> </w:t>
      </w:r>
      <w:r>
        <w:t xml:space="preserve">~1.0 kg CO2e/kg (varies widely, e.g., 0.7 to 1.2 Mg CO2 per Mg waste from incineration, or around 0.007 t CO2e/t for landfill transport) We use an illustrative average of 1.0 kg CO2e/kg for net disposal emissions.</w:t>
      </w:r>
    </w:p>
    <w:p>
      <w:pPr>
        <w:numPr>
          <w:ilvl w:val="0"/>
          <w:numId w:val="1010"/>
        </w:numPr>
        <w:pStyle w:val="Compact"/>
      </w:pPr>
      <w:r>
        <w:rPr>
          <w:bCs/>
          <w:b/>
        </w:rPr>
        <w:t xml:space="preserve">Disposal Emissions (Illustrative):</w:t>
      </w:r>
      <w:r>
        <w:t xml:space="preserve"> </w:t>
      </w:r>
      <w:r>
        <w:t xml:space="preserve">0.345 kg * 1.0 kg CO2e/kg = 0.345 kg CO2e</w:t>
      </w:r>
    </w:p>
    <w:p>
      <w:pPr>
        <w:numPr>
          <w:ilvl w:val="0"/>
          <w:numId w:val="1010"/>
        </w:numPr>
        <w:pStyle w:val="Compact"/>
      </w:pPr>
      <w:r>
        <w:rPr>
          <w:bCs/>
          <w:b/>
        </w:rPr>
        <w:t xml:space="preserve">Recycling Credits:</w:t>
      </w:r>
      <w:r>
        <w:t xml:space="preserve"> </w:t>
      </w:r>
      <w:r>
        <w:t xml:space="preserve">With 70% recyclability and established circular/take-back programs, significant credits can be generated by avoiding virgin material production.</w:t>
      </w:r>
    </w:p>
    <w:p>
      <w:pPr>
        <w:numPr>
          <w:ilvl w:val="0"/>
          <w:numId w:val="1010"/>
        </w:numPr>
        <w:pStyle w:val="Compact"/>
      </w:pPr>
      <w:r>
        <w:rPr>
          <w:bCs/>
          <w:b/>
        </w:rPr>
        <w:t xml:space="preserve">Illustrative Recycling Credit:</w:t>
      </w:r>
      <w:r>
        <w:t xml:space="preserve"> </w:t>
      </w:r>
      <w:r>
        <w:t xml:space="preserve">Assume an avoided emission factor for the 70% recycled portion, e.g., 50% of original material emissions for the recycled portion as a credit (this is highly dependent on material type and recycling process efficiency, and follows a simplified interpretation of system expansion for EoL credits).</w:t>
      </w:r>
    </w:p>
    <w:p>
      <w:pPr>
        <w:numPr>
          <w:ilvl w:val="0"/>
          <w:numId w:val="1010"/>
        </w:numPr>
        <w:pStyle w:val="Compact"/>
      </w:pPr>
      <w:r>
        <w:rPr>
          <w:bCs/>
          <w:b/>
        </w:rPr>
        <w:t xml:space="preserve">Avoided Emissions (Illustrative):</w:t>
      </w:r>
      <w:r>
        <w:t xml:space="preserve"> </w:t>
      </w:r>
      <w:r>
        <w:t xml:space="preserve">(9.19 kg CO2e from materials) * 0.70 (recycled) * 0.5 (credit factor) = -3.2165 kg CO2e</w:t>
      </w:r>
    </w:p>
    <w:p>
      <w:pPr>
        <w:numPr>
          <w:ilvl w:val="0"/>
          <w:numId w:val="1010"/>
        </w:numPr>
        <w:pStyle w:val="Compact"/>
      </w:pPr>
      <w:r>
        <w:rPr>
          <w:bCs/>
          <w:b/>
        </w:rPr>
        <w:t xml:space="preserve">Net End-of-Life Emissions =</w:t>
      </w:r>
      <w:r>
        <w:t xml:space="preserve"> </w:t>
      </w:r>
      <w:r>
        <w:t xml:space="preserve">0.345 - 3.2165 = -2.8715 kg CO2e (a net credit due to strong recycling)</w:t>
      </w:r>
    </w:p>
    <w:bookmarkEnd w:id="40"/>
    <w:bookmarkEnd w:id="41"/>
    <w:bookmarkStart w:id="42" w:name="X6cb5e98fc5f672b90609cb3addd66567976155f"/>
    <w:p>
      <w:pPr>
        <w:pStyle w:val="Heading4"/>
      </w:pPr>
      <w:r>
        <w:t xml:space="preserve">Total Product Carbon Footprint (Illustrative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GHG Scope</w:t>
            </w:r>
          </w:p>
        </w:tc>
        <w:tc>
          <w:tcPr/>
          <w:p>
            <w:pPr>
              <w:pStyle w:val="Compact"/>
              <w:jc w:val="left"/>
            </w:pPr>
            <w:r>
              <w:t xml:space="preserve">Illustrative CO2e (kg) per Functional Unit</w:t>
            </w:r>
          </w:p>
        </w:tc>
      </w:tr>
      <w:tr>
        <w:tc>
          <w:tcPr/>
          <w:p>
            <w:pPr>
              <w:pStyle w:val="Compact"/>
              <w:jc w:val="left"/>
            </w:pPr>
            <w:r>
              <w:t xml:space="preserve">Materials (Upstream)</w:t>
            </w:r>
          </w:p>
        </w:tc>
        <w:tc>
          <w:tcPr/>
          <w:p>
            <w:pPr>
              <w:pStyle w:val="Compact"/>
              <w:jc w:val="left"/>
            </w:pPr>
            <w:r>
              <w:t xml:space="preserve">Scope 3 (Category 1)</w:t>
            </w:r>
          </w:p>
        </w:tc>
        <w:tc>
          <w:tcPr/>
          <w:p>
            <w:pPr>
              <w:pStyle w:val="Compact"/>
              <w:jc w:val="left"/>
            </w:pPr>
            <w:r>
              <w:t xml:space="preserve">9.19</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5.58</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0.28</w:t>
            </w:r>
          </w:p>
        </w:tc>
      </w:tr>
      <w:tr>
        <w:tc>
          <w:tcPr/>
          <w:p>
            <w:pPr>
              <w:pStyle w:val="Compact"/>
              <w:jc w:val="left"/>
            </w:pPr>
            <w:r>
              <w:t xml:space="preserve">Use Phase Energy</w:t>
            </w:r>
          </w:p>
        </w:tc>
        <w:tc>
          <w:tcPr/>
          <w:p>
            <w:pPr>
              <w:pStyle w:val="Compact"/>
              <w:jc w:val="left"/>
            </w:pPr>
            <w:r>
              <w:t xml:space="preserve">Scope 3 (Category 11)</w:t>
            </w:r>
          </w:p>
        </w:tc>
        <w:tc>
          <w:tcPr/>
          <w:p>
            <w:pPr>
              <w:pStyle w:val="Compact"/>
              <w:jc w:val="left"/>
            </w:pPr>
            <w:r>
              <w:t xml:space="preserve">20.0</w:t>
            </w:r>
          </w:p>
        </w:tc>
      </w:tr>
      <w:tr>
        <w:tc>
          <w:tcPr/>
          <w:p>
            <w:pPr>
              <w:pStyle w:val="Compact"/>
              <w:jc w:val="left"/>
            </w:pPr>
            <w:r>
              <w:t xml:space="preserve">End-of-Life Treatment (Net)</w:t>
            </w:r>
          </w:p>
        </w:tc>
        <w:tc>
          <w:tcPr/>
          <w:p>
            <w:pPr>
              <w:pStyle w:val="Compact"/>
              <w:jc w:val="left"/>
            </w:pPr>
            <w:r>
              <w:t xml:space="preserve">Scope 3 (Category 12)</w:t>
            </w:r>
          </w:p>
        </w:tc>
        <w:tc>
          <w:tcPr/>
          <w:p>
            <w:pPr>
              <w:pStyle w:val="Compact"/>
              <w:jc w:val="left"/>
            </w:pPr>
            <w:r>
              <w:t xml:space="preserve">-2.87</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32.18</w:t>
            </w:r>
          </w:p>
        </w:tc>
      </w:tr>
    </w:tbl>
    <w:p>
      <w:pPr>
        <w:pStyle w:val="BodyText"/>
      </w:pPr>
      <w:r>
        <w:rPr>
          <w:iCs/>
          <w:i/>
        </w:rPr>
        <w:t xml:space="preserve">Note: All emission factors used for calculation beyond the BOM \'Total Carbon\' are illustrative and based on general industry averages from recognized sources such as Ecoinvent and DEFRA data. For precise calculations, specific, up-to-date regional and process-specific emission factors would be required.</w:t>
      </w:r>
    </w:p>
    <w:bookmarkEnd w:id="42"/>
    <w:bookmarkEnd w:id="43"/>
    <w:bookmarkStart w:id="44" w:name="lsr-update-application"/>
    <w:p>
      <w:pPr>
        <w:pStyle w:val="Heading3"/>
      </w:pPr>
      <w:r>
        <w:t xml:space="preserve">2026 LSR Update Application</w:t>
      </w:r>
    </w:p>
    <w:p>
      <w:pPr>
        <w:pStyle w:val="FirstParagraph"/>
      </w:pPr>
      <w:r>
        <w:t xml:space="preserve">The Land Sector and Removals (LSR) Standard update, effective January 1, 2027, is applied by ensuring that any land-use change associated with raw material sourcing (e.g., deforestation for wood products, land transformation for mining) is accounted for within the upstream emissions. For packaging (cardboard), if the source involves sustainable forestry or has certified removals, these are considered as credits. Conversely, if it leads to land-use change emissions, these are quantified. Given the provided BOM, the cardboard packaging\'s "Total Carbon" factor implicitly includes its production; however, for deeper LSR analysis, the sourcing specifics would be crucial. The "Total Carbon" values for materials are assumed to already integrate these impacts for their respective processes.</w:t>
      </w:r>
    </w:p>
    <w:bookmarkEnd w:id="44"/>
    <w:bookmarkEnd w:id="45"/>
    <w:bookmarkEnd w:id="46"/>
    <w:p>
      <w:r>
        <w:pict>
          <v:rect style="width:0;height:1.5pt" o:hralign="center" o:hrstd="t" o:hr="t"/>
        </w:pict>
      </w:r>
    </w:p>
    <w:bookmarkStart w:id="49" w:name="review-report"/>
    <w:p>
      <w:pPr>
        <w:pStyle w:val="Heading2"/>
      </w:pPr>
      <w:r>
        <w:t xml:space="preserve">5. Review &amp; Report</w:t>
      </w:r>
    </w:p>
    <w:bookmarkStart w:id="47" w:name="emission-hotspots"/>
    <w:p>
      <w:pPr>
        <w:pStyle w:val="Heading3"/>
      </w:pPr>
      <w:r>
        <w:t xml:space="preserve">Emission Hotspots</w:t>
      </w:r>
    </w:p>
    <w:p>
      <w:pPr>
        <w:pStyle w:val="FirstParagraph"/>
      </w:pPr>
      <w:r>
        <w:t xml:space="preserve">Based on the illustrative calculations, the primary emission hotspots for lfqrurvvll are identified as:</w:t>
      </w:r>
    </w:p>
    <w:p>
      <w:pPr>
        <w:numPr>
          <w:ilvl w:val="0"/>
          <w:numId w:val="1011"/>
        </w:numPr>
        <w:pStyle w:val="Compact"/>
      </w:pPr>
      <w:r>
        <w:rPr>
          <w:bCs/>
          <w:b/>
        </w:rPr>
        <w:t xml:space="preserve">Use Phase Energy Consumption:</w:t>
      </w:r>
      <w:r>
        <w:t xml:space="preserve"> </w:t>
      </w:r>
      <w:r>
        <w:t xml:space="preserve">This represents the largest portion of the footprint (approximately 62.2% of gross emissions), highlighting the impact of product operation.</w:t>
      </w:r>
    </w:p>
    <w:p>
      <w:pPr>
        <w:numPr>
          <w:ilvl w:val="0"/>
          <w:numId w:val="1011"/>
        </w:numPr>
        <w:pStyle w:val="Compact"/>
      </w:pPr>
      <w:r>
        <w:rPr>
          <w:bCs/>
          <w:b/>
        </w:rPr>
        <w:t xml:space="preserve">Raw Materials:</w:t>
      </w:r>
      <w:r>
        <w:t xml:space="preserve"> </w:t>
      </w:r>
      <w:r>
        <w:t xml:space="preserve">The production of materials, particularly Aluminum Casing and Circuit Board, contributes significantly (approximately 28.6% of gross emissions) to the upstream footprint.</w:t>
      </w:r>
    </w:p>
    <w:p>
      <w:pPr>
        <w:numPr>
          <w:ilvl w:val="0"/>
          <w:numId w:val="1011"/>
        </w:numPr>
        <w:pStyle w:val="Compact"/>
      </w:pPr>
      <w:r>
        <w:rPr>
          <w:bCs/>
          <w:b/>
        </w:rPr>
        <w:t xml:space="preserve">Production Energy:</w:t>
      </w:r>
      <w:r>
        <w:t xml:space="preserve"> </w:t>
      </w:r>
      <w:r>
        <w:t xml:space="preserve">The electricity mix used in China for manufacturing is a notable contributor (approximately 17.3% of gross emissions), even with qduzkzfxgk (40%) renewable energy usage.</w:t>
      </w:r>
    </w:p>
    <w:bookmarkEnd w:id="47"/>
    <w:bookmarkStart w:id="48" w:name="reliability-and-recommendations"/>
    <w:p>
      <w:pPr>
        <w:pStyle w:val="Heading3"/>
      </w:pPr>
      <w:r>
        <w:t xml:space="preserve">Reliability and Recommendations</w:t>
      </w:r>
    </w:p>
    <w:p>
      <w:pPr>
        <w:pStyle w:val="FirstParagraph"/>
      </w:pPr>
      <w:r>
        <w:t xml:space="preserve">The reliability of this PCF analysis is high for the BOM materials due to specific \'Total Carbon\' values provided. For other lifecycle stages, the analysis relies on illustrative industry-average emission factors. To enhance accuracy, the following recommendations are made:</w:t>
      </w:r>
    </w:p>
    <w:p>
      <w:pPr>
        <w:numPr>
          <w:ilvl w:val="0"/>
          <w:numId w:val="1012"/>
        </w:numPr>
        <w:pStyle w:val="Compact"/>
      </w:pPr>
      <w:r>
        <w:rPr>
          <w:bCs/>
          <w:b/>
        </w:rPr>
        <w:t xml:space="preserve">Primary Data Collection:</w:t>
      </w:r>
      <w:r>
        <w:t xml:space="preserve"> </w:t>
      </w:r>
      <w:r>
        <w:t xml:space="preserve">Gather specific energy consumption data and precise emission factors for all transportation routes (mode, fuel, load factor) and electricity mixes for the actual regions of material extraction and end-user locations.</w:t>
      </w:r>
    </w:p>
    <w:p>
      <w:pPr>
        <w:numPr>
          <w:ilvl w:val="0"/>
          <w:numId w:val="1012"/>
        </w:numPr>
        <w:pStyle w:val="Compact"/>
      </w:pPr>
      <w:r>
        <w:rPr>
          <w:bCs/>
          <w:b/>
        </w:rPr>
        <w:t xml:space="preserve">Supplier Engagement:</w:t>
      </w:r>
      <w:r>
        <w:t xml:space="preserve"> </w:t>
      </w:r>
      <w:r>
        <w:t xml:space="preserve">Work with suppliers to obtain primary data on material production emissions and renewable energy usage in their operations.</w:t>
      </w:r>
    </w:p>
    <w:p>
      <w:pPr>
        <w:numPr>
          <w:ilvl w:val="0"/>
          <w:numId w:val="1012"/>
        </w:numPr>
        <w:pStyle w:val="Compact"/>
      </w:pPr>
      <w:r>
        <w:rPr>
          <w:bCs/>
          <w:b/>
        </w:rPr>
        <w:t xml:space="preserve">Use Phase Optimization:</w:t>
      </w:r>
      <w:r>
        <w:t xml:space="preserve"> </w:t>
      </w:r>
      <w:r>
        <w:t xml:space="preserve">Investigate opportunities to reduce energy consumption during the product\'s use phase through design improvements, energy-efficient components, or smart power management features.</w:t>
      </w:r>
    </w:p>
    <w:p>
      <w:pPr>
        <w:numPr>
          <w:ilvl w:val="0"/>
          <w:numId w:val="1012"/>
        </w:numPr>
        <w:pStyle w:val="Compact"/>
      </w:pPr>
      <w:r>
        <w:rPr>
          <w:bCs/>
          <w:b/>
        </w:rPr>
        <w:t xml:space="preserve">Circular Economy Expansion:</w:t>
      </w:r>
      <w:r>
        <w:t xml:space="preserve"> </w:t>
      </w:r>
      <w:r>
        <w:t xml:space="preserve">Continue to strengthen and expand circular/take-back programs (`pnxkxetpji`), potentially exploring higher recycled content in materials and designing for easier disassembly and repair to maximize end-of-life credits.</w:t>
      </w:r>
    </w:p>
    <w:p>
      <w:pPr>
        <w:numPr>
          <w:ilvl w:val="0"/>
          <w:numId w:val="1012"/>
        </w:numPr>
        <w:pStyle w:val="Compact"/>
      </w:pPr>
      <w:r>
        <w:rPr>
          <w:bCs/>
          <w:b/>
        </w:rPr>
        <w:t xml:space="preserve">Renewable Energy Targets:</w:t>
      </w:r>
      <w:r>
        <w:t xml:space="preserve"> </w:t>
      </w:r>
      <w:r>
        <w:t xml:space="preserve">Increase the percentage of renewable energy used in the manufacturing facilities and encourage suppliers to do the same.</w:t>
      </w:r>
    </w:p>
    <w:bookmarkEnd w:id="48"/>
    <w:bookmarkEnd w:id="49"/>
    <w:p>
      <w:r>
        <w:pict>
          <v:rect style="width:0;height:1.5pt" o:hralign="center" o:hrstd="t" o:hr="t"/>
        </w:pict>
      </w:r>
    </w:p>
    <w:p>
      <w:pPr>
        <w:pStyle w:val="FirstParagraph"/>
      </w:pPr>
      <w:r>
        <w:t xml:space="preserve">Confidential - Internal Use Only | Page</w:t>
      </w:r>
      <w:r>
        <w:t xml:space="preserve"> </w:t>
      </w:r>
    </w:p>
    <w:p>
      <w:pPr>
        <w:pStyle w:val="BodyText"/>
      </w:pPr>
      <w:r>
        <w:t xml:space="preserve">© 2026 qoygevikgh.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lfqrurvvll</dc:title>
  <dc:creator/>
  <dc:description>Comprehensive Product Carbon Footprint (PCF) analysis report for lfqrurvvll by uiwspwovru, Senior Sustainability Consultant at qoygevikgh, adhering to GHG Protocol standards and 2026 LSR update.</dc:description>
  <dc:language>en</dc:language>
  <cp:keywords/>
  <dcterms:created xsi:type="dcterms:W3CDTF">2026-07-15T02:56:50Z</dcterms:created>
  <dcterms:modified xsi:type="dcterms:W3CDTF">2026-07-15T02:56:50Z</dcterms:modified>
</cp:coreProperties>
</file>

<file path=docProps/custom.xml><?xml version="1.0" encoding="utf-8"?>
<Properties xmlns="http://schemas.openxmlformats.org/officeDocument/2006/custom-properties" xmlns:vt="http://schemas.openxmlformats.org/officeDocument/2006/docPropsVTypes"/>
</file>