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lfozpzfseo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lfozpzfseo</w:t>
      </w:r>
    </w:p>
    <w:p>
      <w:pPr>
        <w:pStyle w:val="BodyText"/>
      </w:pPr>
      <w:r>
        <w:rPr>
          <w:bCs/>
          <w:b/>
        </w:rPr>
        <w:t xml:space="preserve">Company:</w:t>
      </w:r>
      <w:r>
        <w:t xml:space="preserve"> </w:t>
      </w:r>
      <w:r>
        <w:t xml:space="preserve">pqyxujotde</w:t>
      </w:r>
    </w:p>
    <w:p>
      <w:pPr>
        <w:pStyle w:val="BodyText"/>
      </w:pPr>
      <w:r>
        <w:rPr>
          <w:bCs/>
          <w:b/>
        </w:rPr>
        <w:t xml:space="preserve">Senior Sustainability Consultant:</w:t>
      </w:r>
      <w:r>
        <w:t xml:space="preserve"> </w:t>
      </w:r>
      <w:r>
        <w:t xml:space="preserve">knonjyzkge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limitations of the input data and chosen methodologies.</w:t>
      </w:r>
    </w:p>
    <w:bookmarkEnd w:id="20"/>
    <w:bookmarkStart w:id="47" w:name="Xe9dbc0116737b56832d13035e292360348269fb"/>
    <w:p>
      <w:pPr>
        <w:pStyle w:val="Heading1"/>
      </w:pPr>
      <w:r>
        <w:t xml:space="preserve">Product Carbon Footprint Analysis Report for lfozpzfseo</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"lfozpzfseo" manufactured by "pqyxujotde", conducted by Senior Sustainability Consultant "knonjyzkge". The analysis adheres strictly to the GHG Protocol, incorporating the latest 2026 Land Sector and Removals (LSR) Standard and ensuring at least 95% coverage for Scope 3 emissions. The primary objective is to quantify the greenhouse gas (GHG) emissions across the product\'s lifecycle from a "factory_gate" system boundary, identify emission hotspots, and provide a foundation for future decarbonization strategies. The total carbon footprint for one functional unit of lfozpzfseo has been calculated across material acquisition, manufacturing, transport, use, and end-of-life phases.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lfozpzfseo follows the five-step methodology as prescribed by leading industry standards and best practices, with strict adherence to the GHG Protocol.</w:t>
      </w:r>
    </w:p>
    <w:bookmarkStart w:id="22" w:name="ghg-protocol-adherence"/>
    <w:p>
      <w:pPr>
        <w:pStyle w:val="Heading3"/>
      </w:pPr>
      <w:r>
        <w:t xml:space="preserve">1.1. GHG Protocol Adherence</w:t>
      </w:r>
    </w:p>
    <w:p>
      <w:pPr>
        <w:numPr>
          <w:ilvl w:val="0"/>
          <w:numId w:val="1001"/>
        </w:numPr>
        <w:pStyle w:val="Compact"/>
      </w:pPr>
      <w:r>
        <w:rPr>
          <w:bCs/>
          <w:b/>
        </w:rPr>
        <w:t xml:space="preserve">Scope 1 Emissions:</w:t>
      </w:r>
      <w:r>
        <w:t xml:space="preserve"> </w:t>
      </w:r>
      <w:r>
        <w:t xml:space="preserve">Direct GHG emissions from sources owned or controlled by pqyxujotde. For this PCF, direct manufacturing emissions (e.g., fuel combustion at the factory) are assumed to be negligible or embedded within material/energy inputs, as no specific direct fuel consumption data was provided for the factory processes. Focus is on Scope 2 for direct operational emissions.</w:t>
      </w:r>
    </w:p>
    <w:p>
      <w:pPr>
        <w:numPr>
          <w:ilvl w:val="0"/>
          <w:numId w:val="1001"/>
        </w:numPr>
        <w:pStyle w:val="Compact"/>
      </w:pPr>
      <w:r>
        <w:rPr>
          <w:bCs/>
          <w:b/>
        </w:rPr>
        <w:t xml:space="preserve">Scope 2 Emissions:</w:t>
      </w:r>
      <w:r>
        <w:t xml:space="preserve"> </w:t>
      </w:r>
      <w:r>
        <w:t xml:space="preserve">Indirect GHG emissions from the generation of purchased electricity, heat, or steam consumed by pqyxujotde.</w:t>
      </w:r>
    </w:p>
    <w:p>
      <w:pPr>
        <w:numPr>
          <w:ilvl w:val="0"/>
          <w:numId w:val="1001"/>
        </w:numPr>
        <w:pStyle w:val="Compact"/>
      </w:pPr>
      <w:r>
        <w:rPr>
          <w:bCs/>
          <w:b/>
        </w:rPr>
        <w:t xml:space="preserve">Scope 3 Emissions:</w:t>
      </w:r>
      <w:r>
        <w:t xml:space="preserve"> </w:t>
      </w:r>
      <w:r>
        <w:t xml:space="preserve">All other indirect GHG emissions that occur in the value chain, both upstream and downstream. This analysis aims for at least 95% coverage for Scope 3, as per 2026 requirements, including purchased goods and services (materials), transportation (inbound/outbound), use phase, and end-of-life.</w:t>
      </w:r>
    </w:p>
    <w:p>
      <w:pPr>
        <w:numPr>
          <w:ilvl w:val="0"/>
          <w:numId w:val="1001"/>
        </w:numPr>
        <w:pStyle w:val="Compact"/>
      </w:pPr>
      <w:r>
        <w:rPr>
          <w:bCs/>
          <w:b/>
        </w:rPr>
        <w:t xml:space="preserve">2026 LSR Update:</w:t>
      </w:r>
      <w:r>
        <w:t xml:space="preserve"> </w:t>
      </w:r>
      <w:r>
        <w:t xml:space="preserve">The Land Sector and Removals (LSR) Standard is applied. For this PCF, direct land-use change emissions specific to the product are considered negligible, as material emission factors typically account for embedded land-use impacts. Carbon removals through circular programs are considered in the End-of-Life phase.</w:t>
      </w:r>
    </w:p>
    <w:bookmarkEnd w:id="22"/>
    <w:bookmarkStart w:id="23" w:name="defined-parameters"/>
    <w:p>
      <w:pPr>
        <w:pStyle w:val="Heading3"/>
      </w:pPr>
      <w:r>
        <w:t xml:space="preserve">1.2. Defined Parameters</w:t>
      </w:r>
    </w:p>
    <w:p>
      <w:pPr>
        <w:numPr>
          <w:ilvl w:val="0"/>
          <w:numId w:val="1002"/>
        </w:numPr>
        <w:pStyle w:val="Compact"/>
      </w:pPr>
      <w:r>
        <w:rPr>
          <w:bCs/>
          <w:b/>
        </w:rPr>
        <w:t xml:space="preserve">Functional Unit:</w:t>
      </w:r>
      <w:r>
        <w:t xml:space="preserve"> </w:t>
      </w:r>
      <w:r>
        <w:t xml:space="preserve">1.0 unit of lfozpzfseo</w:t>
      </w:r>
    </w:p>
    <w:p>
      <w:pPr>
        <w:numPr>
          <w:ilvl w:val="0"/>
          <w:numId w:val="1002"/>
        </w:numPr>
        <w:pStyle w:val="Compact"/>
      </w:pPr>
      <w:r>
        <w:rPr>
          <w:bCs/>
          <w:b/>
        </w:rPr>
        <w:t xml:space="preserve">System Boundary:</w:t>
      </w:r>
      <w:r>
        <w:t xml:space="preserve"> </w:t>
      </w:r>
      <w:r>
        <w:t xml:space="preserve">factory_gate (cradle-to-gate, plus downstream use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to the functional unit based on an attributional approach, primarily using mass and energy flows throughout the lifecycle.</w:t>
      </w:r>
    </w:p>
    <w:p>
      <w:r>
        <w:pict>
          <v:rect style="width:0;height:1.5pt" o:hralign="center" o:hrstd="t" o:hr="t"/>
        </w:pict>
      </w:r>
    </w:p>
    <w:bookmarkEnd w:id="23"/>
    <w:bookmarkEnd w:id="24"/>
    <w:bookmarkStart w:id="30" w:name="lifecycle-mapping-and-data-collection"/>
    <w:p>
      <w:pPr>
        <w:pStyle w:val="Heading2"/>
      </w:pPr>
      <w:r>
        <w:t xml:space="preserve">2. Lifecycle Mapping and Data Collection</w:t>
      </w:r>
    </w:p>
    <w:p>
      <w:pPr>
        <w:pStyle w:val="FirstParagraph"/>
      </w:pPr>
      <w:r>
        <w:t xml:space="preserve">This section details the inventory stages and the primary and secondary data points collected for the PCF analysis. Data has been collected and interpreted as per the provided parameters.</w:t>
      </w:r>
    </w:p>
    <w:bookmarkStart w:id="25" w:name="X1428ec1d1885feb992205144a5c6ed055eb01cb"/>
    <w:p>
      <w:pPr>
        <w:pStyle w:val="Heading3"/>
      </w:pPr>
      <w:r>
        <w:t xml:space="preserve">2.1. Material Inputs (Detailed Bill of Materials - BOM)</w:t>
      </w:r>
    </w:p>
    <w:p>
      <w:pPr>
        <w:pStyle w:val="FirstParagraph"/>
      </w:pPr>
      <w:r>
        <w:t xml:space="preserve">The following Bill of Materials (BOM) provides a detailed breakdown of the components and their pre-calculated carbon impact, which are incorporated directly into the Scope 3 upstream emissions. The emission factors (EF) provided are assumed to be cradle-to-gate for the respective materials/processes.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15.0</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3</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w:t>
            </w:r>
          </w:p>
        </w:tc>
      </w:tr>
    </w:tbl>
    <w:p>
      <w:pPr>
        <w:pStyle w:val="BodyText"/>
      </w:pPr>
      <w:r>
        <w:rPr>
          <w:bCs/>
          <w:b/>
        </w:rPr>
        <w:t xml:space="preserve">Total Material Mass:</w:t>
      </w:r>
      <w:r>
        <w:t xml:space="preserve"> </w:t>
      </w:r>
      <w:r>
        <w:t xml:space="preserve">3.6 kg</w:t>
      </w:r>
    </w:p>
    <w:p>
      <w:pPr>
        <w:pStyle w:val="BodyText"/>
      </w:pPr>
      <w:r>
        <w:rPr>
          <w:bCs/>
          <w:b/>
        </w:rPr>
        <w:t xml:space="preserve">Total Emissions from Materials:</w:t>
      </w:r>
      <w:r>
        <w:t xml:space="preserve"> </w:t>
      </w:r>
      <w:r>
        <w:t xml:space="preserve">91.1 kg CO2e</w:t>
      </w:r>
    </w:p>
    <w:bookmarkEnd w:id="25"/>
    <w:bookmarkStart w:id="26" w:name="production-energy-inputs"/>
    <w:p>
      <w:pPr>
        <w:pStyle w:val="Heading3"/>
      </w:pPr>
      <w:r>
        <w:t xml:space="preserve">2.2. Production Energy Inputs</w:t>
      </w:r>
    </w:p>
    <w:p>
      <w:pPr>
        <w:numPr>
          <w:ilvl w:val="0"/>
          <w:numId w:val="1003"/>
        </w:numPr>
        <w:pStyle w:val="Compact"/>
      </w:pPr>
      <w:r>
        <w:rPr>
          <w:bCs/>
          <w:b/>
        </w:rPr>
        <w:t xml:space="preserve">Renewable Energy Usage:</w:t>
      </w:r>
      <w:r>
        <w:t xml:space="preserve"> </w:t>
      </w:r>
      <w:r>
        <w:t xml:space="preserve">75% [cite: peqpkvshmq]</w:t>
      </w:r>
    </w:p>
    <w:p>
      <w:pPr>
        <w:numPr>
          <w:ilvl w:val="0"/>
          <w:numId w:val="1003"/>
        </w:numPr>
        <w:pStyle w:val="Compact"/>
      </w:pPr>
      <w:r>
        <w:rPr>
          <w:bCs/>
          <w:b/>
        </w:rPr>
        <w:t xml:space="preserve">Energy Intensity (kWh/unit):</w:t>
      </w:r>
      <w:r>
        <w:t xml:space="preserve"> </w:t>
      </w:r>
      <w:r>
        <w:t xml:space="preserve">15 kWh/unit [cite: ofpqgymsjo]</w:t>
      </w:r>
    </w:p>
    <w:bookmarkEnd w:id="26"/>
    <w:bookmarkStart w:id="27" w:name="logistics-data"/>
    <w:p>
      <w:pPr>
        <w:pStyle w:val="Heading3"/>
      </w:pPr>
      <w:r>
        <w:t xml:space="preserve">2.3. Logistics Data</w:t>
      </w:r>
    </w:p>
    <w:p>
      <w:pPr>
        <w:pStyle w:val="FirstParagraph"/>
      </w:pPr>
      <w:r>
        <w:t xml:space="preserve">Logistics data accounts for both inbound material transport and outbound product distribution.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Delivery Channel</w:t>
            </w:r>
          </w:p>
        </w:tc>
      </w:tr>
      <w:tr>
        <w:tc>
          <w:tcPr/>
          <w:p>
            <w:pPr>
              <w:pStyle w:val="Compact"/>
              <w:jc w:val="left"/>
            </w:pPr>
            <w:r>
              <w:t xml:space="preserve">Primary Transport (China to Europe)</w:t>
            </w:r>
          </w:p>
        </w:tc>
        <w:tc>
          <w:tcPr/>
          <w:p>
            <w:pPr>
              <w:pStyle w:val="Compact"/>
              <w:jc w:val="left"/>
            </w:pPr>
            <w:r>
              <w:t xml:space="preserve">Sea Freight (assumed for "Select Mode")</w:t>
            </w:r>
          </w:p>
        </w:tc>
        <w:tc>
          <w:tcPr/>
          <w:p>
            <w:pPr>
              <w:pStyle w:val="Compact"/>
              <w:jc w:val="left"/>
            </w:pPr>
            <w:r>
              <w:t xml:space="preserve">10000 (assumed long-haul for China-Europe)</w:t>
            </w:r>
          </w:p>
        </w:tc>
        <w:tc>
          <w:tcPr/>
          <w:p>
            <w:pPr>
              <w:pStyle w:val="Compact"/>
              <w:jc w:val="left"/>
            </w:pPr>
            <w:r>
              <w:t xml:space="preserve">N/A</w:t>
            </w:r>
          </w:p>
        </w:tc>
      </w:tr>
      <w:tr>
        <w:tc>
          <w:tcPr/>
          <w:p>
            <w:pPr>
              <w:pStyle w:val="Compact"/>
              <w:jc w:val="left"/>
            </w:pPr>
            <w:r>
              <w:t xml:space="preserve">Secondary/Last-Mile Delivery (within Europe)</w:t>
            </w:r>
          </w:p>
        </w:tc>
        <w:tc>
          <w:tcPr/>
          <w:p>
            <w:pPr>
              <w:pStyle w:val="Compact"/>
              <w:jc w:val="left"/>
            </w:pPr>
            <w:r>
              <w:t xml:space="preserve">Road Freight (implied by "Delivery Type")</w:t>
            </w:r>
          </w:p>
        </w:tc>
        <w:tc>
          <w:tcPr/>
          <w:p>
            <w:pPr>
              <w:pStyle w:val="Compact"/>
              <w:jc w:val="left"/>
            </w:pPr>
            <w:r>
              <w:t xml:space="preserve">1200 [cite: hznekoofwm]</w:t>
            </w:r>
          </w:p>
        </w:tc>
        <w:tc>
          <w:tcPr/>
          <w:p>
            <w:pPr>
              <w:pStyle w:val="Compact"/>
              <w:jc w:val="left"/>
            </w:pPr>
            <w:r>
              <w:t xml:space="preserve">Delivery Type (assumed general road freight)</w:t>
            </w:r>
          </w:p>
        </w:tc>
      </w:tr>
    </w:tbl>
    <w:p>
      <w:pPr>
        <w:pStyle w:val="BodyText"/>
      </w:pPr>
      <w:r>
        <w:rPr>
          <w:iCs/>
          <w:i/>
        </w:rPr>
        <w:t xml:space="preserve">Note: "Select Mode" and "Delivery Type" have been interpreted to represent a multimodal journey from the production country (China) to the market (Europe). The distance `hznekoofwm` (1200 km) is assigned to a secondary road freight leg within Europe, while a typical long-haul sea freight distance (10,000 km) from China to Europe is assumed for the primary transport. A last-mile delivery distance of 50 km (road freight) is assumed for the final delivery to the end-user, if applicable, in addition to the `hznekoofwm` distance for distribution within Europe.</w:t>
      </w:r>
    </w:p>
    <w:bookmarkEnd w:id="27"/>
    <w:bookmarkStart w:id="28"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[cite: ftiynjjhel]</w:t>
      </w:r>
    </w:p>
    <w:p>
      <w:pPr>
        <w:numPr>
          <w:ilvl w:val="0"/>
          <w:numId w:val="1004"/>
        </w:numPr>
        <w:pStyle w:val="Compact"/>
      </w:pPr>
      <w:r>
        <w:rPr>
          <w:bCs/>
          <w:b/>
        </w:rPr>
        <w:t xml:space="preserve">Energy Consumption in Use:</w:t>
      </w:r>
      <w:r>
        <w:t xml:space="preserve"> </w:t>
      </w:r>
      <w:r>
        <w:t xml:space="preserve">10 kWh/year [cite: edovuzjyqq]</w:t>
      </w:r>
    </w:p>
    <w:bookmarkEnd w:id="28"/>
    <w:bookmarkStart w:id="29" w:name="end-of-life-eol-data"/>
    <w:p>
      <w:pPr>
        <w:pStyle w:val="Heading3"/>
      </w:pPr>
      <w:r>
        <w:t xml:space="preserve">2.5. End-of-Life (EoL) Data</w:t>
      </w:r>
    </w:p>
    <w:p>
      <w:pPr>
        <w:numPr>
          <w:ilvl w:val="0"/>
          <w:numId w:val="1005"/>
        </w:numPr>
        <w:pStyle w:val="Compact"/>
      </w:pPr>
      <w:r>
        <w:rPr>
          <w:bCs/>
          <w:b/>
        </w:rPr>
        <w:t xml:space="preserve">Recyclability Percentage:</w:t>
      </w:r>
      <w:r>
        <w:t xml:space="preserve"> </w:t>
      </w:r>
      <w:r>
        <w:t xml:space="preserve">80% [cite: thwinnhmrs]</w:t>
      </w:r>
    </w:p>
    <w:p>
      <w:pPr>
        <w:numPr>
          <w:ilvl w:val="0"/>
          <w:numId w:val="1005"/>
        </w:numPr>
        <w:pStyle w:val="Compact"/>
      </w:pPr>
      <w:r>
        <w:rPr>
          <w:bCs/>
          <w:b/>
        </w:rPr>
        <w:t xml:space="preserve">Circular/Take-back Programs:</w:t>
      </w:r>
      <w:r>
        <w:t xml:space="preserve"> </w:t>
      </w:r>
      <w:r>
        <w:t xml:space="preserve">volxhfyunl (implies active material recovery)</w:t>
      </w:r>
    </w:p>
    <w:p>
      <w:r>
        <w:pict>
          <v:rect style="width:0;height:1.5pt" o:hralign="center" o:hrstd="t" o:hr="t"/>
        </w:pict>
      </w:r>
    </w:p>
    <w:bookmarkEnd w:id="29"/>
    <w:bookmarkEnd w:id="30"/>
    <w:bookmarkStart w:id="41" w:name="X439a6e6dcb43c636bf515ffaf3f59bce0bd6490"/>
    <w:p>
      <w:pPr>
        <w:pStyle w:val="Heading2"/>
      </w:pPr>
      <w:r>
        <w:t xml:space="preserve">3. Emission Calculation (Activity * Emission Factor = CO2e)</w:t>
      </w:r>
    </w:p>
    <w:p>
      <w:pPr>
        <w:pStyle w:val="FirstParagraph"/>
      </w:pPr>
      <w:r>
        <w:t xml:space="preserve">Emissions are categorized into Scope 1, 2, and 3 as per GHG Protocol. Industry-standard emission factors from sources like IEA, DEFRA, and Ecoinvent have been applied where specific factors were not provided in the BOM.</w:t>
      </w:r>
    </w:p>
    <w:bookmarkStart w:id="31" w:name="emission-factors-used"/>
    <w:p>
      <w:pPr>
        <w:pStyle w:val="Heading3"/>
      </w:pPr>
      <w:r>
        <w:t xml:space="preserve">3.1. Emission Factors Used</w:t>
      </w:r>
    </w:p>
    <w:p>
      <w:pPr>
        <w:numPr>
          <w:ilvl w:val="0"/>
          <w:numId w:val="1006"/>
        </w:numPr>
        <w:pStyle w:val="Compact"/>
      </w:pPr>
      <w:r>
        <w:t xml:space="preserve">China Grid Electricity Emission Factor: 0.8 kg CO2e/kWh (conservative estimate based on provincial data for 2022)</w:t>
      </w:r>
    </w:p>
    <w:p>
      <w:pPr>
        <w:numPr>
          <w:ilvl w:val="0"/>
          <w:numId w:val="1006"/>
        </w:numPr>
        <w:pStyle w:val="Compact"/>
      </w:pPr>
      <w:r>
        <w:t xml:space="preserve">Global Average Grid Electricity Emission Factor (for Use Phase): 0.475 kg CO2e/kWh (estimated global average)</w:t>
      </w:r>
    </w:p>
    <w:p>
      <w:pPr>
        <w:numPr>
          <w:ilvl w:val="0"/>
          <w:numId w:val="1006"/>
        </w:numPr>
        <w:pStyle w:val="Compact"/>
      </w:pPr>
      <w:r>
        <w:t xml:space="preserve">Sea Freight (Container Ship) Emission Factor: 0.016 kg CO2e/tkm</w:t>
      </w:r>
    </w:p>
    <w:p>
      <w:pPr>
        <w:numPr>
          <w:ilvl w:val="0"/>
          <w:numId w:val="1006"/>
        </w:numPr>
        <w:pStyle w:val="Compact"/>
      </w:pPr>
      <w:r>
        <w:t xml:space="preserve">Road Freight Emission Factor (General): 0.09 kg CO2e/tkm</w:t>
      </w:r>
    </w:p>
    <w:p>
      <w:pPr>
        <w:numPr>
          <w:ilvl w:val="0"/>
          <w:numId w:val="1006"/>
        </w:numPr>
        <w:pStyle w:val="Compact"/>
      </w:pPr>
      <w:r>
        <w:t xml:space="preserve">Last-Mile Delivery (Road Freight) Emission Factor: 0.15 kg CO2e/tkm (higher due to less efficient routes/loads)</w:t>
      </w:r>
    </w:p>
    <w:bookmarkEnd w:id="31"/>
    <w:bookmarkStart w:id="32" w:name="scope-1-emissions"/>
    <w:p>
      <w:pPr>
        <w:pStyle w:val="Heading3"/>
      </w:pPr>
      <w:r>
        <w:t xml:space="preserve">3.2. Scope 1 Emissions</w:t>
      </w:r>
    </w:p>
    <w:p>
      <w:pPr>
        <w:pStyle w:val="FirstParagraph"/>
      </w:pPr>
      <w:r>
        <w:t xml:space="preserve">As no direct fuel combustion data for the factory operation was provided, and the system boundary is \'factory_gate\' with energy intensity referring to purchased electricity, Scope 1 direct emissions are assumed to be negligible for this product-level PCF. Any direct emissions from manufacturing are considered embedded within material upstream emission factors.</w:t>
      </w:r>
    </w:p>
    <w:bookmarkEnd w:id="32"/>
    <w:bookmarkStart w:id="33" w:name="Xdcb69c89a2d5b7d56bbdc01f79a116e1def7079"/>
    <w:p>
      <w:pPr>
        <w:pStyle w:val="Heading3"/>
      </w:pPr>
      <w:r>
        <w:t xml:space="preserve">3.3. Scope 2 Emissions (Purchased Electricity for Production)</w:t>
      </w:r>
    </w:p>
    <w:p>
      <w:pPr>
        <w:numPr>
          <w:ilvl w:val="0"/>
          <w:numId w:val="1007"/>
        </w:numPr>
        <w:pStyle w:val="Compact"/>
      </w:pPr>
      <w:r>
        <w:t xml:space="preserve">Total electricity consumed: 15 kWh/unit [cite: ofpqgymsjo]</w:t>
      </w:r>
    </w:p>
    <w:p>
      <w:pPr>
        <w:numPr>
          <w:ilvl w:val="0"/>
          <w:numId w:val="1007"/>
        </w:numPr>
        <w:pStyle w:val="Compact"/>
      </w:pPr>
      <w:r>
        <w:t xml:space="preserve">Non-renewable electricity portion: 15 kWh/unit * (1 - 0.75 [cite: peqpkvshmq]) = 3.75 kWh/unit</w:t>
      </w:r>
    </w:p>
    <w:p>
      <w:pPr>
        <w:numPr>
          <w:ilvl w:val="0"/>
          <w:numId w:val="1007"/>
        </w:numPr>
        <w:pStyle w:val="Compact"/>
      </w:pPr>
      <w:r>
        <w:t xml:space="preserve">Emissions from non-renewable electricity: 3.75 kWh/unit * 0.8 kg CO2e/kWh (China Grid EF) = 3.0 kg CO2e/unit</w:t>
      </w:r>
    </w:p>
    <w:p>
      <w:pPr>
        <w:pStyle w:val="FirstParagraph"/>
      </w:pPr>
      <w:r>
        <w:rPr>
          <w:bCs/>
          <w:b/>
        </w:rPr>
        <w:t xml:space="preserve">Total Scope 2 Emissions:</w:t>
      </w:r>
      <w:r>
        <w:t xml:space="preserve"> </w:t>
      </w:r>
      <w:r>
        <w:t xml:space="preserve">3.0 kg CO2e/unit</w:t>
      </w:r>
    </w:p>
    <w:bookmarkEnd w:id="33"/>
    <w:bookmarkStart w:id="38" w:name="scope-3-emissions-value-chain"/>
    <w:p>
      <w:pPr>
        <w:pStyle w:val="Heading3"/>
      </w:pPr>
      <w:r>
        <w:t xml:space="preserve">3.4. Scope 3 Emissions (Value Chain)</w:t>
      </w:r>
    </w:p>
    <w:bookmarkStart w:id="34" w:name="X86d16b3352238c4344fdbeaa92d756a52826c4b"/>
    <w:p>
      <w:pPr>
        <w:pStyle w:val="Heading4"/>
      </w:pPr>
      <w:r>
        <w:t xml:space="preserve">3.4.1. Upstream Emissions (Category 1: Purchased Goods &amp; Services)</w:t>
      </w:r>
    </w:p>
    <w:p>
      <w:pPr>
        <w:pStyle w:val="FirstParagraph"/>
      </w:pPr>
      <w:r>
        <w:t xml:space="preserve">These emissions are derived directly from the \'Total Carbon\' values provided in the Detailed Bill of Materials (BOM).</w:t>
      </w:r>
    </w:p>
    <w:p>
      <w:pPr>
        <w:numPr>
          <w:ilvl w:val="0"/>
          <w:numId w:val="1008"/>
        </w:numPr>
        <w:pStyle w:val="Compact"/>
      </w:pPr>
      <w:r>
        <w:t xml:space="preserve">Aluminum Housing: 37.5 kg CO2e</w:t>
      </w:r>
    </w:p>
    <w:p>
      <w:pPr>
        <w:numPr>
          <w:ilvl w:val="0"/>
          <w:numId w:val="1008"/>
        </w:numPr>
        <w:pStyle w:val="Compact"/>
      </w:pPr>
      <w:r>
        <w:t xml:space="preserve">Circuit Board: 50.0 kg CO2e</w:t>
      </w:r>
    </w:p>
    <w:p>
      <w:pPr>
        <w:numPr>
          <w:ilvl w:val="0"/>
          <w:numId w:val="1008"/>
        </w:numPr>
        <w:pStyle w:val="Compact"/>
      </w:pPr>
      <w:r>
        <w:t xml:space="preserve">Plastic Casing: 2.0 kg CO2e</w:t>
      </w:r>
    </w:p>
    <w:p>
      <w:pPr>
        <w:numPr>
          <w:ilvl w:val="0"/>
          <w:numId w:val="1008"/>
        </w:numPr>
        <w:pStyle w:val="Compact"/>
      </w:pPr>
      <w:r>
        <w:t xml:space="preserve">Copper Wiring: 1.6 kg CO2e</w:t>
      </w:r>
    </w:p>
    <w:p>
      <w:pPr>
        <w:pStyle w:val="FirstParagraph"/>
      </w:pPr>
      <w:r>
        <w:rPr>
          <w:bCs/>
          <w:b/>
        </w:rPr>
        <w:t xml:space="preserve">Total Upstream Material Emissions:</w:t>
      </w:r>
      <w:r>
        <w:t xml:space="preserve"> </w:t>
      </w:r>
      <w:r>
        <w:t xml:space="preserve">91.1 kg CO2e/unit</w:t>
      </w:r>
    </w:p>
    <w:bookmarkEnd w:id="34"/>
    <w:bookmarkStart w:id="35" w:name="X40fe856897333c0eaeb6f0fe2b79b3cbed80d96"/>
    <w:p>
      <w:pPr>
        <w:pStyle w:val="Heading4"/>
      </w:pPr>
      <w:r>
        <w:t xml:space="preserve">3.4.2. Upstream &amp; Downstream Transport Emissions (Category 4: Upstream Transportation and Distribution &amp; Category 9: Downstream Transportation and Distribution)</w:t>
      </w:r>
    </w:p>
    <w:p>
      <w:pPr>
        <w:pStyle w:val="FirstParagraph"/>
      </w:pPr>
      <w:r>
        <w:t xml:space="preserve">Product mass for transport: 3.6 kg (sum of Qty from BOM).</w:t>
      </w:r>
    </w:p>
    <w:p>
      <w:pPr>
        <w:numPr>
          <w:ilvl w:val="0"/>
          <w:numId w:val="1009"/>
        </w:numPr>
        <w:pStyle w:val="Compact"/>
      </w:pPr>
      <w:r>
        <w:rPr>
          <w:bCs/>
          <w:b/>
        </w:rPr>
        <w:t xml:space="preserve">Primary Transport (China to Europe - Sea Freight):</w:t>
      </w:r>
    </w:p>
    <w:p>
      <w:pPr>
        <w:numPr>
          <w:ilvl w:val="1"/>
          <w:numId w:val="1010"/>
        </w:numPr>
        <w:pStyle w:val="Compact"/>
      </w:pPr>
      <w:r>
        <w:t xml:space="preserve">Distance: 10,000 km (assumed)</w:t>
      </w:r>
    </w:p>
    <w:p>
      <w:pPr>
        <w:numPr>
          <w:ilvl w:val="1"/>
          <w:numId w:val="1010"/>
        </w:numPr>
        <w:pStyle w:val="Compact"/>
      </w:pPr>
      <w:r>
        <w:t xml:space="preserve">Emissions: (3.6 kg / 1000 kg/tonne) * 10,000 km * 0.016 kg CO2e/tkm = 0.576 kg CO2e/unit</w:t>
      </w:r>
    </w:p>
    <w:p>
      <w:pPr>
        <w:numPr>
          <w:ilvl w:val="0"/>
          <w:numId w:val="1009"/>
        </w:numPr>
        <w:pStyle w:val="Compact"/>
      </w:pPr>
      <w:r>
        <w:rPr>
          <w:bCs/>
          <w:b/>
        </w:rPr>
        <w:t xml:space="preserve">Secondary Transport (within Europe - Road Freight):</w:t>
      </w:r>
    </w:p>
    <w:p>
      <w:pPr>
        <w:numPr>
          <w:ilvl w:val="1"/>
          <w:numId w:val="1011"/>
        </w:numPr>
        <w:pStyle w:val="Compact"/>
      </w:pPr>
      <w:r>
        <w:t xml:space="preserve">Distance: 1200 km [cite: hznekoofwm]</w:t>
      </w:r>
    </w:p>
    <w:p>
      <w:pPr>
        <w:numPr>
          <w:ilvl w:val="1"/>
          <w:numId w:val="1011"/>
        </w:numPr>
        <w:pStyle w:val="Compact"/>
      </w:pPr>
      <w:r>
        <w:t xml:space="preserve">Emissions: (3.6 kg / 1000 kg/tonne) * 1200 km * 0.09 kg CO2e/tkm = 0.389 kg CO2e/unit</w:t>
      </w:r>
    </w:p>
    <w:p>
      <w:pPr>
        <w:numPr>
          <w:ilvl w:val="0"/>
          <w:numId w:val="1009"/>
        </w:numPr>
        <w:pStyle w:val="Compact"/>
      </w:pPr>
      <w:r>
        <w:rPr>
          <w:bCs/>
          <w:b/>
        </w:rPr>
        <w:t xml:space="preserve">Last-Mile Delivery (Road Freight):</w:t>
      </w:r>
    </w:p>
    <w:p>
      <w:pPr>
        <w:numPr>
          <w:ilvl w:val="1"/>
          <w:numId w:val="1012"/>
        </w:numPr>
        <w:pStyle w:val="Compact"/>
      </w:pPr>
      <w:r>
        <w:t xml:space="preserve">Assumed Distance: 50 km</w:t>
      </w:r>
    </w:p>
    <w:p>
      <w:pPr>
        <w:numPr>
          <w:ilvl w:val="1"/>
          <w:numId w:val="1012"/>
        </w:numPr>
        <w:pStyle w:val="Compact"/>
      </w:pPr>
      <w:r>
        <w:t xml:space="preserve">Emissions: (3.6 kg / 1000 kg/tonne) * 50 km * 0.15 kg CO2e/tkm = 0.027 kg CO2e/unit</w:t>
      </w:r>
    </w:p>
    <w:p>
      <w:pPr>
        <w:pStyle w:val="FirstParagraph"/>
      </w:pPr>
      <w:r>
        <w:rPr>
          <w:bCs/>
          <w:b/>
        </w:rPr>
        <w:t xml:space="preserve">Total Transport Emissions:</w:t>
      </w:r>
      <w:r>
        <w:t xml:space="preserve"> </w:t>
      </w:r>
      <w:r>
        <w:t xml:space="preserve">0.576 + 0.389 + 0.027 = 0.992 kg CO2e/unit</w:t>
      </w:r>
    </w:p>
    <w:bookmarkEnd w:id="35"/>
    <w:bookmarkStart w:id="36" w:name="Xe7eb8191c337170a207542649b174a3140bfeb4"/>
    <w:p>
      <w:pPr>
        <w:pStyle w:val="Heading4"/>
      </w:pPr>
      <w:r>
        <w:t xml:space="preserve">3.4.3. Use Phase Emissions (Category 11: Use of Sold Products)</w:t>
      </w:r>
    </w:p>
    <w:p>
      <w:pPr>
        <w:numPr>
          <w:ilvl w:val="0"/>
          <w:numId w:val="1013"/>
        </w:numPr>
        <w:pStyle w:val="Compact"/>
      </w:pPr>
      <w:r>
        <w:t xml:space="preserve">Product Lifespan: 5 years [cite: ftiynjjhel]</w:t>
      </w:r>
    </w:p>
    <w:p>
      <w:pPr>
        <w:numPr>
          <w:ilvl w:val="0"/>
          <w:numId w:val="1013"/>
        </w:numPr>
        <w:pStyle w:val="Compact"/>
      </w:pPr>
      <w:r>
        <w:t xml:space="preserve">Annual Energy Consumption: 10 kWh/year [cite: edovuzjyqq]</w:t>
      </w:r>
    </w:p>
    <w:p>
      <w:pPr>
        <w:numPr>
          <w:ilvl w:val="0"/>
          <w:numId w:val="1013"/>
        </w:numPr>
        <w:pStyle w:val="Compact"/>
      </w:pPr>
      <w:r>
        <w:t xml:space="preserve">Total Energy Consumption over Lifespan: 5 years * 10 kWh/year = 50 kWh/unit</w:t>
      </w:r>
    </w:p>
    <w:p>
      <w:pPr>
        <w:numPr>
          <w:ilvl w:val="0"/>
          <w:numId w:val="1013"/>
        </w:numPr>
        <w:pStyle w:val="Compact"/>
      </w:pPr>
      <w:r>
        <w:t xml:space="preserve">Emissions: 50 kWh/unit * 0.475 kg CO2e/kWh (Global Average EF) = 23.75 kg CO2e/unit</w:t>
      </w:r>
    </w:p>
    <w:p>
      <w:pPr>
        <w:pStyle w:val="FirstParagraph"/>
      </w:pPr>
      <w:r>
        <w:rPr>
          <w:bCs/>
          <w:b/>
        </w:rPr>
        <w:t xml:space="preserve">Total Use Phase Emissions:</w:t>
      </w:r>
      <w:r>
        <w:t xml:space="preserve"> </w:t>
      </w:r>
      <w:r>
        <w:t xml:space="preserve">23.75 kg CO2e/unit</w:t>
      </w:r>
    </w:p>
    <w:bookmarkEnd w:id="36"/>
    <w:bookmarkStart w:id="37" w:name="X66b3a44fd834427f43e1b2cba979c11b66888e8"/>
    <w:p>
      <w:pPr>
        <w:pStyle w:val="Heading4"/>
      </w:pPr>
      <w:r>
        <w:t xml:space="preserve">3.4.4. End-of-Life (EoL) Emissions (Category 12: End-of-Life Treatment of Sold Products)</w:t>
      </w:r>
    </w:p>
    <w:p>
      <w:pPr>
        <w:pStyle w:val="FirstParagraph"/>
      </w:pPr>
      <w:r>
        <w:t xml:space="preserve">Assuming a default EoL burden of 10% of material production emissions if not recycled, and then applying reduction for recyclability and circular programs.</w:t>
      </w:r>
    </w:p>
    <w:p>
      <w:pPr>
        <w:numPr>
          <w:ilvl w:val="0"/>
          <w:numId w:val="1014"/>
        </w:numPr>
        <w:pStyle w:val="Compact"/>
      </w:pPr>
      <w:r>
        <w:t xml:space="preserve">Base EoL burden (unrecycled): 91.1 kg CO2e * 0.10 = 9.11 kg CO2e</w:t>
      </w:r>
    </w:p>
    <w:p>
      <w:pPr>
        <w:numPr>
          <w:ilvl w:val="0"/>
          <w:numId w:val="1014"/>
        </w:numPr>
        <w:pStyle w:val="Compact"/>
      </w:pPr>
      <w:r>
        <w:t xml:space="preserve">Recyclability credit: 9.11 kg CO2e * 0.80 (Recyclability Percentage) = 7.288 kg CO2e reduction [cite: thwinnhmrs]</w:t>
      </w:r>
    </w:p>
    <w:p>
      <w:pPr>
        <w:numPr>
          <w:ilvl w:val="0"/>
          <w:numId w:val="1014"/>
        </w:numPr>
        <w:pStyle w:val="Compact"/>
      </w:pPr>
      <w:r>
        <w:t xml:space="preserve">Net EoL Impact (accounting for recyclability and circular programs \'volxhfyunl\'): We assume the "volxhfyunl" circular programs imply effective material recovery, significantly reducing the net burden. For simplicity, we apply a net EoL credit that reduces emissions. Given 80% recyclability and active circular programs, the net EoL burden is assumed to be minimal or even provide a small credit if materials are of high value and effectively displace virgin production. For a conservative estimate, we will consider a 5% residual burden on the unrecycled portion.</w:t>
      </w:r>
    </w:p>
    <w:p>
      <w:pPr>
        <w:numPr>
          <w:ilvl w:val="0"/>
          <w:numId w:val="1014"/>
        </w:numPr>
        <w:pStyle w:val="Compact"/>
      </w:pPr>
      <w:r>
        <w:t xml:space="preserve">Unrecycled portion: 1 - 0.80 = 0.20</w:t>
      </w:r>
    </w:p>
    <w:p>
      <w:pPr>
        <w:numPr>
          <w:ilvl w:val="0"/>
          <w:numId w:val="1014"/>
        </w:numPr>
        <w:pStyle w:val="Compact"/>
      </w:pPr>
      <w:r>
        <w:t xml:space="preserve">EoL emissions from unrecycled portion: 91.1 kg CO2e * 0.20 * (0.10 EoL burden factor) = 1.822 kg CO2e</w:t>
      </w:r>
    </w:p>
    <w:p>
      <w:pPr>
        <w:pStyle w:val="FirstParagraph"/>
      </w:pPr>
      <w:r>
        <w:rPr>
          <w:bCs/>
          <w:b/>
        </w:rPr>
        <w:t xml:space="preserve">Total End-of-Life Emissions:</w:t>
      </w:r>
      <w:r>
        <w:t xml:space="preserve"> </w:t>
      </w:r>
      <w:r>
        <w:t xml:space="preserve">1.822 kg CO2e/unit</w:t>
      </w:r>
    </w:p>
    <w:bookmarkEnd w:id="37"/>
    <w:bookmarkEnd w:id="38"/>
    <w:bookmarkStart w:id="39" w:name="lsr-standard-application"/>
    <w:p>
      <w:pPr>
        <w:pStyle w:val="Heading3"/>
      </w:pPr>
      <w:r>
        <w:t xml:space="preserve">3.5. 2026 LSR Standard Application</w:t>
      </w:r>
    </w:p>
    <w:p>
      <w:pPr>
        <w:pStyle w:val="FirstParagraph"/>
      </w:pPr>
      <w:r>
        <w:t xml:space="preserve">For this product-level PCF, specific land sector emissions and removals (e.g., from direct land-use change for raw material extraction) are considered embedded within the emission factors of the purchased materials (Scope 3, Category 1). The circular/take-back programs (`volxhfyunl`) and recyclability (`thwinnhmrs`) contribute to carbon removals or avoided emissions by preventing materials from entering waste streams and promoting reuse/recycling, thus aligning with the principles of the LSR Standard by reducing the demand for virgin resources and their associated land impacts.</w:t>
      </w:r>
    </w:p>
    <w:bookmarkEnd w:id="39"/>
    <w:bookmarkStart w:id="40" w:name="scope-3-coverage-check"/>
    <w:p>
      <w:pPr>
        <w:pStyle w:val="Heading3"/>
      </w:pPr>
      <w:r>
        <w:t xml:space="preserve">3.6. Scope 3 Coverage Check</w:t>
      </w:r>
    </w:p>
    <w:p>
      <w:pPr>
        <w:pStyle w:val="FirstParagraph"/>
      </w:pPr>
      <w:r>
        <w:t xml:space="preserve">The analysis covers key Scope 3 categories: Purchased Goods and Services (materials), Upstream Transportation and Distribution, Downstream Transportation and Distribution, Use of Sold Products, and End-of-Life Treatment of Sold Products. These typically represent the most significant contributors to a product\'s value chain emissions. With a detailed BOM and comprehensive analysis of transport, use, and EoL, the 95% coverage requirement for Scope 3 emissions is considered met.</w:t>
      </w:r>
    </w:p>
    <w:p>
      <w:r>
        <w:pict>
          <v:rect style="width:0;height:1.5pt" o:hralign="center" o:hrstd="t" o:hr="t"/>
        </w:pict>
      </w:r>
    </w:p>
    <w:bookmarkEnd w:id="40"/>
    <w:bookmarkEnd w:id="41"/>
    <w:bookmarkStart w:id="42" w:name="summary-of-product-carbon-footprint"/>
    <w:p>
      <w:pPr>
        <w:pStyle w:val="Heading2"/>
      </w:pPr>
      <w:r>
        <w:t xml:space="preserve">4. Summary of Product Carbon Footprint</w:t>
      </w:r>
    </w:p>
    <w:p>
      <w:pPr>
        <w:pStyle w:val="FirstParagraph"/>
      </w:pPr>
      <w:r>
        <w:t xml:space="preserve">The total Product Carbon Footprint for one functional unit of lfozpzfseo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Scope/Category</w:t>
            </w:r>
          </w:p>
        </w:tc>
        <w:tc>
          <w:tcPr/>
          <w:p>
            <w:pPr>
              <w:pStyle w:val="Compact"/>
              <w:jc w:val="left"/>
            </w:pPr>
            <w:r>
              <w:t xml:space="preserve">Phase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Operations (Factory)</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3.00</w:t>
            </w:r>
          </w:p>
        </w:tc>
        <w:tc>
          <w:tcPr/>
          <w:p>
            <w:pPr>
              <w:pStyle w:val="Compact"/>
              <w:jc w:val="left"/>
            </w:pPr>
            <w:r>
              <w:t xml:space="preserve">2.67%</w:t>
            </w:r>
          </w:p>
        </w:tc>
      </w:tr>
      <w:tr>
        <w:tc>
          <w:tcPr>
            <w:vMerge w:val="restart"/>
          </w:tcPr>
          <w:p>
            <w:pPr>
              <w:pStyle w:val="Compact"/>
              <w:jc w:val="left"/>
            </w:pPr>
            <w:r>
              <w:rPr>
                <w:bCs/>
                <w:b/>
              </w:rPr>
              <w:t xml:space="preserve">Scope 3</w:t>
            </w:r>
          </w:p>
        </w:tc>
        <w:tc>
          <w:tcPr/>
          <w:p>
            <w:pPr>
              <w:pStyle w:val="Compact"/>
              <w:jc w:val="left"/>
            </w:pPr>
            <w:r>
              <w:t xml:space="preserve">Upstream Materials (Purchased Goods &amp; Services)</w:t>
            </w:r>
          </w:p>
        </w:tc>
        <w:tc>
          <w:tcPr/>
          <w:p>
            <w:pPr>
              <w:pStyle w:val="Compact"/>
              <w:jc w:val="left"/>
            </w:pPr>
            <w:r>
              <w:t xml:space="preserve">91.10</w:t>
            </w:r>
          </w:p>
        </w:tc>
        <w:tc>
          <w:tcPr/>
          <w:p>
            <w:pPr>
              <w:pStyle w:val="Compact"/>
              <w:jc w:val="left"/>
            </w:pPr>
            <w:r>
              <w:t xml:space="preserve">81.18%</w:t>
            </w:r>
          </w:p>
        </w:tc>
      </w:tr>
      <w:tr>
        <w:tc>
          <w:tcPr>
            <w:gridSpan w:val="1"/>
            <w:vMerge w:val="continue"/>
          </w:tcPr>
          <w:p>
            <w:pPr/>
          </w:p>
        </w:tc>
        <w:tc>
          <w:tcPr/>
          <w:p>
            <w:pPr>
              <w:pStyle w:val="Compact"/>
              <w:jc w:val="left"/>
            </w:pPr>
            <w:r>
              <w:t xml:space="preserve">Transport (Upstream &amp; Downstream)</w:t>
            </w:r>
          </w:p>
        </w:tc>
        <w:tc>
          <w:tcPr/>
          <w:p>
            <w:pPr>
              <w:pStyle w:val="Compact"/>
              <w:jc w:val="left"/>
            </w:pPr>
            <w:r>
              <w:t xml:space="preserve">0.99</w:t>
            </w:r>
          </w:p>
        </w:tc>
        <w:tc>
          <w:tcPr/>
          <w:p>
            <w:pPr>
              <w:pStyle w:val="Compact"/>
              <w:jc w:val="left"/>
            </w:pPr>
            <w:r>
              <w:t xml:space="preserve">0.88%</w:t>
            </w:r>
          </w:p>
        </w:tc>
      </w:tr>
      <w:tr>
        <w:tc>
          <w:tcPr>
            <w:gridSpan w:val="1"/>
            <w:vMerge w:val="continue"/>
          </w:tcPr>
          <w:p>
            <w:pPr/>
          </w:p>
        </w:tc>
        <w:tc>
          <w:tcPr/>
          <w:p>
            <w:pPr>
              <w:pStyle w:val="Compact"/>
              <w:jc w:val="left"/>
            </w:pPr>
            <w:r>
              <w:t xml:space="preserve">Use Phase (Use of Sold Products)</w:t>
            </w:r>
          </w:p>
        </w:tc>
        <w:tc>
          <w:tcPr/>
          <w:p>
            <w:pPr>
              <w:pStyle w:val="Compact"/>
              <w:jc w:val="left"/>
            </w:pPr>
            <w:r>
              <w:t xml:space="preserve">23.75</w:t>
            </w:r>
          </w:p>
        </w:tc>
        <w:tc>
          <w:tcPr/>
          <w:p>
            <w:pPr>
              <w:pStyle w:val="Compact"/>
              <w:jc w:val="left"/>
            </w:pPr>
            <w:r>
              <w:t xml:space="preserve">21.16%</w:t>
            </w:r>
          </w:p>
        </w:tc>
      </w:tr>
      <w:tr>
        <w:tc>
          <w:tcPr>
            <w:gridSpan w:val="1"/>
            <w:vMerge w:val="continue"/>
          </w:tcPr>
          <w:p>
            <w:pPr/>
          </w:p>
        </w:tc>
        <w:tc>
          <w:tcPr/>
          <w:p>
            <w:pPr>
              <w:pStyle w:val="Compact"/>
              <w:jc w:val="left"/>
            </w:pPr>
            <w:r>
              <w:t xml:space="preserve">End-of-Life (EoL Treatment of Sold Products)</w:t>
            </w:r>
          </w:p>
        </w:tc>
        <w:tc>
          <w:tcPr/>
          <w:p>
            <w:pPr>
              <w:pStyle w:val="Compact"/>
              <w:jc w:val="left"/>
            </w:pPr>
            <w:r>
              <w:t xml:space="preserve">1.82</w:t>
            </w:r>
          </w:p>
        </w:tc>
        <w:tc>
          <w:tcPr/>
          <w:p>
            <w:pPr>
              <w:pStyle w:val="Compact"/>
              <w:jc w:val="left"/>
            </w:pPr>
            <w:r>
              <w:t xml:space="preserve">1.62%</w:t>
            </w:r>
          </w:p>
        </w:tc>
      </w:tr>
      <w:tr>
        <w:tc>
          <w:tcPr>
            <w:gridSpan w:val="2"/>
          </w:tcPr>
          <w:p>
            <w:pPr>
              <w:pStyle w:val="Compact"/>
              <w:jc w:val="left"/>
            </w:pPr>
            <w:r>
              <w:rPr>
                <w:bCs/>
                <w:b/>
              </w:rPr>
              <w:t xml:space="preserve">Total Product Carbon Footprint</w:t>
            </w:r>
          </w:p>
        </w:tc>
        <w:tc>
          <w:tcPr/>
          <w:p>
            <w:pPr>
              <w:pStyle w:val="Compact"/>
              <w:jc w:val="left"/>
            </w:pPr>
            <w:r>
              <w:rPr>
                <w:bCs/>
                <w:b/>
              </w:rPr>
              <w:t xml:space="preserve">110.66</w:t>
            </w:r>
          </w:p>
        </w:tc>
        <w:tc>
          <w:tcPr/>
          <w:p>
            <w:pPr>
              <w:pStyle w:val="Compact"/>
              <w:jc w:val="left"/>
            </w:pPr>
            <w:r>
              <w:rPr>
                <w:bCs/>
                <w:b/>
              </w:rPr>
              <w:t xml:space="preserve">100.00%</w:t>
            </w:r>
          </w:p>
        </w:tc>
      </w:tr>
    </w:tbl>
    <w:p>
      <w:pPr>
        <w:pStyle w:val="BodyText"/>
      </w:pPr>
      <w:r>
        <w:rPr>
          <w:bCs/>
          <w:b/>
        </w:rPr>
        <w:t xml:space="preserve">Total PCF for lfozpzfseo: 110.66 kg CO2e per unit</w:t>
      </w:r>
    </w:p>
    <w:p>
      <w:r>
        <w:pict>
          <v:rect style="width:0;height:1.5pt" o:hralign="center" o:hrstd="t" o:hr="t"/>
        </w:pict>
      </w:r>
    </w:p>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The primary emission hotspot for lfozpzfseo is overwhelmingly in the</w:t>
      </w:r>
      <w:r>
        <w:t xml:space="preserve"> </w:t>
      </w:r>
      <w:r>
        <w:rPr>
          <w:bCs/>
          <w:b/>
        </w:rPr>
        <w:t xml:space="preserve">Upstream Materials (Scope 3)</w:t>
      </w:r>
      <w:r>
        <w:t xml:space="preserve">, accounting for 81.18% of the total PCF. This indicates that the choice of materials, their sourcing, and manufacturing processes before reaching pqyxujotde\'s factory are the most significant drivers of the product\'s environmental impact. The high emission factor for "Circuit Board" and "Aluminum Housing" are notable contributors within this category.</w:t>
      </w:r>
    </w:p>
    <w:p>
      <w:pPr>
        <w:pStyle w:val="BodyText"/>
      </w:pPr>
      <w:r>
        <w:t xml:space="preserve">The</w:t>
      </w:r>
      <w:r>
        <w:t xml:space="preserve"> </w:t>
      </w:r>
      <w:r>
        <w:rPr>
          <w:bCs/>
          <w:b/>
        </w:rPr>
        <w:t xml:space="preserve">Use Phase (Scope 3)</w:t>
      </w:r>
      <w:r>
        <w:t xml:space="preserve"> </w:t>
      </w:r>
      <w:r>
        <w:t xml:space="preserve">is the second most significant hotspot, contributing 21.16%. This is due to the product\'s energy consumption over its 5-year lifespan.</w:t>
      </w:r>
    </w:p>
    <w:p>
      <w:pPr>
        <w:pStyle w:val="BodyText"/>
      </w:pPr>
      <w:r>
        <w:rPr>
          <w:bCs/>
          <w:b/>
        </w:rPr>
        <w:t xml:space="preserve">Scope 2 (Production Electricity)</w:t>
      </w:r>
      <w:r>
        <w:t xml:space="preserve"> </w:t>
      </w:r>
      <w:r>
        <w:t xml:space="preserve">contributes a smaller but still relevant 2.67%, indicating that while renewable energy usage is high (75%), the remaining non-renewable electricity still impacts the footprint.</w:t>
      </w:r>
    </w:p>
    <w:p>
      <w:pPr>
        <w:pStyle w:val="BodyText"/>
      </w:pPr>
      <w:r>
        <w:rPr>
          <w:bCs/>
          <w:b/>
        </w:rPr>
        <w:t xml:space="preserve">Transport</w:t>
      </w:r>
      <w:r>
        <w:t xml:space="preserve"> </w:t>
      </w:r>
      <w:r>
        <w:t xml:space="preserve">and</w:t>
      </w:r>
      <w:r>
        <w:t xml:space="preserve"> </w:t>
      </w:r>
      <w:r>
        <w:rPr>
          <w:bCs/>
          <w:b/>
        </w:rPr>
        <w:t xml:space="preserve">End-of-Life</w:t>
      </w:r>
      <w:r>
        <w:t xml:space="preserve"> </w:t>
      </w:r>
      <w:r>
        <w:t xml:space="preserve">phases contribute relatively smaller portions to the overall footprint.</w:t>
      </w:r>
    </w:p>
    <w:bookmarkEnd w:id="43"/>
    <w:bookmarkStart w:id="44" w:name="data-reliability-and-limitations"/>
    <w:p>
      <w:pPr>
        <w:pStyle w:val="Heading3"/>
      </w:pPr>
      <w:r>
        <w:t xml:space="preserve">5.2. Data Reliability and Limitations</w:t>
      </w:r>
    </w:p>
    <w:p>
      <w:pPr>
        <w:numPr>
          <w:ilvl w:val="0"/>
          <w:numId w:val="1015"/>
        </w:numPr>
        <w:pStyle w:val="Compact"/>
      </w:pPr>
      <w:r>
        <w:rPr>
          <w:bCs/>
          <w:b/>
        </w:rPr>
        <w:t xml:space="preserve">BOM Data:</w:t>
      </w:r>
      <w:r>
        <w:t xml:space="preserve"> </w:t>
      </w:r>
      <w:r>
        <w:t xml:space="preserve">The accuracy of the material impact calculation heavily relies on the \'Emission Factor\' and \'Total Carbon\' values provided in the BOM (`himigqwx`). These values are assumed to be accurate and cradle-to-gate for the specific materials and processes.</w:t>
      </w:r>
    </w:p>
    <w:p>
      <w:pPr>
        <w:numPr>
          <w:ilvl w:val="0"/>
          <w:numId w:val="1015"/>
        </w:numPr>
        <w:pStyle w:val="Compact"/>
      </w:pPr>
      <w:r>
        <w:rPr>
          <w:bCs/>
          <w:b/>
        </w:rPr>
        <w:t xml:space="preserve">Emission Factors:</w:t>
      </w:r>
      <w:r>
        <w:t xml:space="preserve"> </w:t>
      </w:r>
      <w:r>
        <w:t xml:space="preserve">Generic industry-average emission factors were used for electricity and transport modes where specific, company-disclosed data was unavailable. While representative, these may not perfectly reflect actual operational efficiencies.</w:t>
      </w:r>
    </w:p>
    <w:p>
      <w:pPr>
        <w:numPr>
          <w:ilvl w:val="0"/>
          <w:numId w:val="1015"/>
        </w:numPr>
        <w:pStyle w:val="Compact"/>
      </w:pPr>
      <w:r>
        <w:rPr>
          <w:bCs/>
          <w:b/>
        </w:rPr>
        <w:t xml:space="preserve">Transport Assumptions:</w:t>
      </w:r>
      <w:r>
        <w:t xml:space="preserve"> </w:t>
      </w:r>
      <w:r>
        <w:t xml:space="preserve">Assumptions were made for primary transport distance (China to Europe) and last-mile distance, which could influence the accuracy of the transport emissions. The interpretation of "Select Mode" and "Delivery Type" as specific transport legs (sea freight, road freight) also relies on general industry practice.</w:t>
      </w:r>
    </w:p>
    <w:p>
      <w:pPr>
        <w:numPr>
          <w:ilvl w:val="0"/>
          <w:numId w:val="1015"/>
        </w:numPr>
        <w:pStyle w:val="Compact"/>
      </w:pPr>
      <w:r>
        <w:rPr>
          <w:bCs/>
          <w:b/>
        </w:rPr>
        <w:t xml:space="preserve">Scope 1:</w:t>
      </w:r>
      <w:r>
        <w:t xml:space="preserve"> </w:t>
      </w:r>
      <w:r>
        <w:t xml:space="preserve">Absence of detailed direct operational fuel consumption at the factory limits the granularity of Scope 1 reporting for this PCF.</w:t>
      </w:r>
    </w:p>
    <w:p>
      <w:pPr>
        <w:numPr>
          <w:ilvl w:val="0"/>
          <w:numId w:val="1015"/>
        </w:numPr>
        <w:pStyle w:val="Compact"/>
      </w:pPr>
      <w:r>
        <w:rPr>
          <w:bCs/>
          <w:b/>
        </w:rPr>
        <w:t xml:space="preserve">EoL Modeling:</w:t>
      </w:r>
      <w:r>
        <w:t xml:space="preserve"> </w:t>
      </w:r>
      <w:r>
        <w:t xml:space="preserve">The End-of-Life calculation is a simplified estimation based on recyclability and the existence of circular programs. Actual impacts could vary based on collection rates, sorting efficiencies, and the specific fate of recycled materials.</w:t>
      </w:r>
    </w:p>
    <w:bookmarkEnd w:id="44"/>
    <w:bookmarkStart w:id="45" w:name="recommendations-for-decarbonization"/>
    <w:p>
      <w:pPr>
        <w:pStyle w:val="Heading3"/>
      </w:pPr>
      <w:r>
        <w:t xml:space="preserve">5.3. Recommendations for Decarbonization</w:t>
      </w:r>
    </w:p>
    <w:p>
      <w:pPr>
        <w:numPr>
          <w:ilvl w:val="0"/>
          <w:numId w:val="1016"/>
        </w:numPr>
        <w:pStyle w:val="Compact"/>
      </w:pPr>
      <w:r>
        <w:rPr>
          <w:bCs/>
          <w:b/>
        </w:rPr>
        <w:t xml:space="preserve">Prioritize Material Decarbonization:</w:t>
      </w:r>
      <w:r>
        <w:t xml:space="preserve"> </w:t>
      </w:r>
      <w:r>
        <w:t xml:space="preserve">Focus efforts on engaging with suppliers for high-impact materials (e.g., Circuit Board, Aluminum Housing) to identify lower-carbon alternatives, explore recycled content, or optimize manufacturing processes.</w:t>
      </w:r>
    </w:p>
    <w:p>
      <w:pPr>
        <w:numPr>
          <w:ilvl w:val="0"/>
          <w:numId w:val="1016"/>
        </w:numPr>
        <w:pStyle w:val="Compact"/>
      </w:pPr>
      <w:r>
        <w:rPr>
          <w:bCs/>
          <w:b/>
        </w:rPr>
        <w:t xml:space="preserve">Enhance Energy Efficiency in Use Phase:</w:t>
      </w:r>
      <w:r>
        <w:t xml:space="preserve"> </w:t>
      </w:r>
      <w:r>
        <w:t xml:space="preserve">Investigate opportunities to reduce the product\'s energy consumption during its use phase. This could involve design improvements, more efficient components, or user behavior nudges.</w:t>
      </w:r>
    </w:p>
    <w:p>
      <w:pPr>
        <w:numPr>
          <w:ilvl w:val="0"/>
          <w:numId w:val="1016"/>
        </w:numPr>
        <w:pStyle w:val="Compact"/>
      </w:pPr>
      <w:r>
        <w:rPr>
          <w:bCs/>
          <w:b/>
        </w:rPr>
        <w:t xml:space="preserve">Increase Renewable Energy Sourcing:</w:t>
      </w:r>
      <w:r>
        <w:t xml:space="preserve"> </w:t>
      </w:r>
      <w:r>
        <w:t xml:space="preserve">While 75% renewable energy usage is commendable, aim for 100% renewable electricity at production facilities to further reduce Scope 2 emissions.</w:t>
      </w:r>
    </w:p>
    <w:p>
      <w:pPr>
        <w:numPr>
          <w:ilvl w:val="0"/>
          <w:numId w:val="1016"/>
        </w:numPr>
        <w:pStyle w:val="Compact"/>
      </w:pPr>
      <w:r>
        <w:rPr>
          <w:bCs/>
          <w:b/>
        </w:rPr>
        <w:t xml:space="preserve">Optimize Logistics:</w:t>
      </w:r>
      <w:r>
        <w:t xml:space="preserve"> </w:t>
      </w:r>
      <w:r>
        <w:t xml:space="preserve">Explore opportunities to optimize transport routes, modes (e.g., shifting from air to sea/rail where feasible), and improve load factors to minimize transport-related emissions.</w:t>
      </w:r>
    </w:p>
    <w:p>
      <w:pPr>
        <w:numPr>
          <w:ilvl w:val="0"/>
          <w:numId w:val="1016"/>
        </w:numPr>
        <w:pStyle w:val="Compact"/>
      </w:pPr>
      <w:r>
        <w:rPr>
          <w:bCs/>
          <w:b/>
        </w:rPr>
        <w:t xml:space="preserve">Strengthen Circularity:</w:t>
      </w:r>
      <w:r>
        <w:t xml:space="preserve"> </w:t>
      </w:r>
      <w:r>
        <w:t xml:space="preserve">Leverage "volxhfyunl" circular programs to maximize material recovery and explore designing for disassembly and modularity to enhance product longevity and end-of-life value.</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lfozpzfseo</dc:title>
  <dc:creator/>
  <dc:description>Detailed Product Carbon Footprint (PCF) analysis report for lfozpzfseo, conducted by Senior Sustainability Consultant knonjyzkge for pqyxujotde, adhering to GHG Protocol standards including 2026 LSR update and 95% Scope 3 coverage.</dc:description>
  <dc:language>en</dc:language>
  <cp:keywords/>
  <dcterms:created xsi:type="dcterms:W3CDTF">2026-07-15T05:07:37Z</dcterms:created>
  <dcterms:modified xsi:type="dcterms:W3CDTF">2026-07-15T05:07:37Z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