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leepvukdqw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leepvukdqw</w:t>
      </w:r>
    </w:p>
    <w:p>
      <w:pPr>
        <w:pStyle w:val="BodyText"/>
      </w:pPr>
      <w:r>
        <w:rPr>
          <w:bCs/>
          <w:b/>
        </w:rPr>
        <w:t xml:space="preserve">Company:</w:t>
      </w:r>
      <w:r>
        <w:t xml:space="preserve"> </w:t>
      </w:r>
      <w:r>
        <w:t xml:space="preserve">pzrgpmgrti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yfwlgunqqr</w:t>
      </w:r>
    </w:p>
    <w:p>
      <w:pPr>
        <w:pStyle w:val="BodyText"/>
      </w:pPr>
      <w:r>
        <w:t xml:space="preserve">This report is generated based on available data and industry standards, providing an estimate of the product\'s carbon footprint.</w:t>
      </w:r>
    </w:p>
    <w:bookmarkEnd w:id="20"/>
    <w:bookmarkStart w:id="21" w:name="X390f8ad0b076a8cfaa311b37d12f61098eed9d2"/>
    <w:p>
      <w:pPr>
        <w:pStyle w:val="Heading1"/>
      </w:pPr>
      <w:r>
        <w:t xml:space="preserve">Product Carbon Footprint Analysis for leepvukdqw</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leepvukdqw</w:t>
      </w:r>
      <w:r>
        <w:t xml:space="preserve">, manufactured by</w:t>
      </w:r>
      <w:r>
        <w:t xml:space="preserve"> </w:t>
      </w:r>
      <w:r>
        <w:rPr>
          <w:bCs/>
          <w:b/>
        </w:rPr>
        <w:t xml:space="preserve">pzrgpmgrti</w:t>
      </w:r>
      <w:r>
        <w:t xml:space="preserve">. As Senior Sustainability Consultant</w:t>
      </w:r>
      <w:r>
        <w:t xml:space="preserve"> </w:t>
      </w:r>
      <w:r>
        <w:rPr>
          <w:bCs/>
          <w:b/>
        </w:rPr>
        <w:t xml:space="preserve">yfwlgunqqr</w:t>
      </w:r>
      <w:r>
        <w:t xml:space="preserve">, I have conducted this assessment in strict adherence to the GHG Protocol\'s Product Life Cycle Accounting and Reporting Standard. The analysis covers the entire lifecycle, from raw material extraction to end-of-life, with a focus on identifying key emission hotspots and providing actionable insights for reduction. This report incorporates the latest 2026 updates to the GHG Protocol\'s Land Sector and Removals (LSR) Standard and stringent Scope 3 compliance requirements, targeting at least 95% coverage for all relevant Scope 3 emissions.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step in any robust PCF analysis is to clearly define the scope of the assessment,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leepvukdqw. This unit serves as the reference basis to which all inputs and outputs are related.</w:t>
      </w:r>
    </w:p>
    <w:p>
      <w:pPr>
        <w:numPr>
          <w:ilvl w:val="0"/>
          <w:numId w:val="1001"/>
        </w:numPr>
        <w:pStyle w:val="Compact"/>
      </w:pPr>
      <w:r>
        <w:rPr>
          <w:bCs/>
          <w:b/>
        </w:rPr>
        <w:t xml:space="preserve">System Boundary:</w:t>
      </w:r>
      <w:r>
        <w:t xml:space="preserve"> </w:t>
      </w:r>
      <w:r>
        <w:t xml:space="preserve">While the primary production process is considered up to the \'factory gate\', the overall system boundary for this Product Carbon Footprint analysis extends from \'Cradle-to-Grave\' (or \'Cradle-to-Cradle\' where circularity applies). This comprehensive approach covers all life cycle stages:</w:t>
      </w:r>
    </w:p>
    <w:p>
      <w:pPr>
        <w:numPr>
          <w:ilvl w:val="1"/>
          <w:numId w:val="1002"/>
        </w:numPr>
        <w:pStyle w:val="Compact"/>
      </w:pPr>
      <w:r>
        <w:t xml:space="preserve">Raw Material Acquisition and Pre-processing (Upstream)</w:t>
      </w:r>
    </w:p>
    <w:p>
      <w:pPr>
        <w:numPr>
          <w:ilvl w:val="1"/>
          <w:numId w:val="1002"/>
        </w:numPr>
        <w:pStyle w:val="Compact"/>
      </w:pPr>
      <w:r>
        <w:t xml:space="preserve">Manufacturing and Production (Core Operations)</w:t>
      </w:r>
    </w:p>
    <w:p>
      <w:pPr>
        <w:numPr>
          <w:ilvl w:val="1"/>
          <w:numId w:val="1002"/>
        </w:numPr>
        <w:pStyle w:val="Compact"/>
      </w:pPr>
      <w:r>
        <w:t xml:space="preserve">Transportation and Distribution (Upstream &amp; Downstream)</w:t>
      </w:r>
    </w:p>
    <w:p>
      <w:pPr>
        <w:numPr>
          <w:ilvl w:val="1"/>
          <w:numId w:val="1002"/>
        </w:numPr>
        <w:pStyle w:val="Compact"/>
      </w:pPr>
      <w:r>
        <w:t xml:space="preserve">Use Phase (Downstream)</w:t>
      </w:r>
    </w:p>
    <w:p>
      <w:pPr>
        <w:numPr>
          <w:ilvl w:val="1"/>
          <w:numId w:val="1002"/>
        </w:numPr>
        <w:pStyle w:val="Compact"/>
      </w:pPr>
      <w:r>
        <w:t xml:space="preserve">End-of-Life Treatment (Downstream)</w:t>
      </w:r>
    </w:p>
    <w:p>
      <w:pPr>
        <w:numPr>
          <w:ilvl w:val="0"/>
          <w:numId w:val="1001"/>
        </w:numPr>
        <w:pStyle w:val="Compact"/>
      </w:pPr>
      <w:r>
        <w:rPr>
          <w:bCs/>
          <w:b/>
        </w:rPr>
        <w:t xml:space="preserve">Geographic Scope:</w:t>
      </w:r>
      <w:r>
        <w:t xml:space="preserve"> </w:t>
      </w:r>
      <w:r>
        <w:t xml:space="preserve">The final production country for leepvukdqw is</w:t>
      </w:r>
      <w:r>
        <w:t xml:space="preserve"> </w:t>
      </w:r>
      <w:r>
        <w:rPr>
          <w:bCs/>
          <w:b/>
        </w:rPr>
        <w:t xml:space="preserve">China</w:t>
      </w:r>
      <w:r>
        <w:t xml:space="preserve">, with a specific focus on a</w:t>
      </w:r>
      <w:r>
        <w:t xml:space="preserve"> </w:t>
      </w:r>
      <w:r>
        <w:rPr>
          <w:bCs/>
          <w:b/>
        </w:rPr>
        <w:t xml:space="preserve">Europe-Focused</w:t>
      </w:r>
      <w:r>
        <w:t xml:space="preserve"> </w:t>
      </w:r>
      <w:r>
        <w:t xml:space="preserve">supply chain. This influences the selection of regional emission factors for energy grids and transportation.</w:t>
      </w:r>
    </w:p>
    <w:p>
      <w:pPr>
        <w:numPr>
          <w:ilvl w:val="0"/>
          <w:numId w:val="1001"/>
        </w:numPr>
        <w:pStyle w:val="Compact"/>
      </w:pPr>
      <w:r>
        <w:rPr>
          <w:bCs/>
          <w:b/>
        </w:rPr>
        <w:t xml:space="preserve">Accounting Standard:</w:t>
      </w:r>
      <w:r>
        <w:t xml:space="preserve"> </w:t>
      </w:r>
      <w:r>
        <w:t xml:space="preserve">This PCF analysis is conducted in full compliance with the</w:t>
      </w:r>
      <w:r>
        <w:t xml:space="preserve"> </w:t>
      </w:r>
      <w:r>
        <w:rPr>
          <w:bCs/>
          <w:b/>
        </w:rPr>
        <w:t xml:space="preserve">GHG Protocol\'s Product Life Cycle Accounting and Reporting Standard</w:t>
      </w:r>
      <w:r>
        <w:t xml:space="preserve">. This ensures a standardized, transparent, and credible quantification of greenhouse gas emissions.</w:t>
      </w:r>
    </w:p>
    <w:p>
      <w:pPr>
        <w:numPr>
          <w:ilvl w:val="0"/>
          <w:numId w:val="1001"/>
        </w:numPr>
        <w:pStyle w:val="Compact"/>
      </w:pPr>
      <w:r>
        <w:rPr>
          <w:bCs/>
          <w:b/>
        </w:rPr>
        <w:t xml:space="preserve">Allocation:</w:t>
      </w:r>
      <w:r>
        <w:t xml:space="preserve"> </w:t>
      </w:r>
      <w:r>
        <w:t xml:space="preserve">Emissions are allocated directly to the functional unit of leepvukdqw. In cases of co-products or shared processes, economic allocation or mass allocation (where appropriate) would be applied to ensure fair distribution of environmental burden. For this specific product, direct attribution is assumed for the provided Bill of Materials (BOM) and production data.</w:t>
      </w:r>
    </w:p>
    <w:p>
      <w:r>
        <w:pict>
          <v:rect style="width:0;height:1.5pt" o:hralign="center" o:hrstd="t" o:hr="t"/>
        </w:pict>
      </w:r>
    </w:p>
    <w:bookmarkEnd w:id="23"/>
    <w:bookmarkStart w:id="31" w:name="X668a29dea6996859d52024a913312988ccfa3c9"/>
    <w:p>
      <w:pPr>
        <w:pStyle w:val="Heading2"/>
      </w:pPr>
      <w:r>
        <w:t xml:space="preserve">2. Map Lifecycle (LCI Inventory Stages) &amp; 3. Collect Data</w:t>
      </w:r>
    </w:p>
    <w:p>
      <w:pPr>
        <w:pStyle w:val="FirstParagraph"/>
      </w:pPr>
      <w:r>
        <w:t xml:space="preserve">This section details the identified life cycle stages for leepvukdqw and the data collected for each, categorized by GHG Protocol scopes. The aim is to build a comprehensive Life Cycle Inventory (LCI).</w:t>
      </w:r>
    </w:p>
    <w:bookmarkStart w:id="24" w:name="ghg-protocol-categorization"/>
    <w:p>
      <w:pPr>
        <w:pStyle w:val="Heading3"/>
      </w:pPr>
      <w:r>
        <w:t xml:space="preserve">GHG Protocol Categorization</w:t>
      </w:r>
    </w:p>
    <w:p>
      <w:pPr>
        <w:numPr>
          <w:ilvl w:val="0"/>
          <w:numId w:val="1003"/>
        </w:numPr>
        <w:pStyle w:val="Compact"/>
      </w:pPr>
      <w:r>
        <w:rPr>
          <w:bCs/>
          <w:b/>
        </w:rPr>
        <w:t xml:space="preserve">Scope 1 (Direct Emissions):</w:t>
      </w:r>
      <w:r>
        <w:t xml:space="preserve"> </w:t>
      </w:r>
      <w:r>
        <w:t xml:space="preserve">Emissions from sources owned or controlled by pzrgpmgrti (e.g., combustion in owned boilers, vehicles, or industrial processes at the factory). For a product-level analysis, direct manufacturing emissions for leepvukdqw (if any from owned assets) would fall here.</w:t>
      </w:r>
    </w:p>
    <w:p>
      <w:pPr>
        <w:numPr>
          <w:ilvl w:val="0"/>
          <w:numId w:val="1003"/>
        </w:numPr>
        <w:pStyle w:val="Compact"/>
      </w:pPr>
      <w:r>
        <w:rPr>
          <w:bCs/>
          <w:b/>
        </w:rPr>
        <w:t xml:space="preserve">Scope 2 (Energy Indirect Emissions):</w:t>
      </w:r>
      <w:r>
        <w:t xml:space="preserve"> </w:t>
      </w:r>
      <w:r>
        <w:t xml:space="preserve">Emissions from the generation of purchased electricity, steam, heating, or cooling consumed by pzrgpmgrti\'s production facilities for leepvukdqw.</w:t>
      </w:r>
    </w:p>
    <w:p>
      <w:pPr>
        <w:numPr>
          <w:ilvl w:val="0"/>
          <w:numId w:val="1003"/>
        </w:numPr>
        <w:pStyle w:val="Compact"/>
      </w:pPr>
      <w:r>
        <w:rPr>
          <w:bCs/>
          <w:b/>
        </w:rPr>
        <w:t xml:space="preserve">Scope 3 (Other Indirect Emissions / Value Chain Emissions):</w:t>
      </w:r>
      <w:r>
        <w:t xml:space="preserve"> </w:t>
      </w:r>
      <w:r>
        <w:t xml:space="preserve">All other indirect emissions occurring in the value chain, both upstream and downstream. This forms the largest portion of a product\'s footprint. The analysis aims for at least 95% coverage for required Scope 3 emissions, as per the latest 2026 GHG Protocol requirements.</w:t>
      </w:r>
      <w:r>
        <w:br/>
      </w:r>
      <w:r>
        <w:t xml:space="preserve">Relevant Scope 3 categories for leepvukdqw include:</w:t>
      </w:r>
    </w:p>
    <w:p>
      <w:pPr>
        <w:numPr>
          <w:ilvl w:val="1"/>
          <w:numId w:val="1004"/>
        </w:numPr>
        <w:pStyle w:val="Compact"/>
      </w:pPr>
      <w:r>
        <w:t xml:space="preserve">Category 1: Purchased Goods and Services (Raw Materials, Components)</w:t>
      </w:r>
    </w:p>
    <w:p>
      <w:pPr>
        <w:numPr>
          <w:ilvl w:val="1"/>
          <w:numId w:val="1004"/>
        </w:numPr>
        <w:pStyle w:val="Compact"/>
      </w:pPr>
      <w:r>
        <w:t xml:space="preserve">Category 3: Fuel- and energy-related activities (e.g., upstream emissions of purchased electricity)</w:t>
      </w:r>
    </w:p>
    <w:p>
      <w:pPr>
        <w:numPr>
          <w:ilvl w:val="1"/>
          <w:numId w:val="1004"/>
        </w:numPr>
        <w:pStyle w:val="Compact"/>
      </w:pPr>
      <w:r>
        <w:t xml:space="preserve">Category 4: Upstream Transportation and Distribution (Raw materials/components to factory)</w:t>
      </w:r>
    </w:p>
    <w:p>
      <w:pPr>
        <w:numPr>
          <w:ilvl w:val="1"/>
          <w:numId w:val="1004"/>
        </w:numPr>
        <w:pStyle w:val="Compact"/>
      </w:pPr>
      <w:r>
        <w:t xml:space="preserve">Category 9: Downstream Transportation and Distribution (Finished product to customer)</w:t>
      </w:r>
    </w:p>
    <w:p>
      <w:pPr>
        <w:numPr>
          <w:ilvl w:val="1"/>
          <w:numId w:val="1004"/>
        </w:numPr>
        <w:pStyle w:val="Compact"/>
      </w:pPr>
      <w:r>
        <w:t xml:space="preserve">Category 11: Use of Sold Products (Energy consumption during product use)</w:t>
      </w:r>
    </w:p>
    <w:p>
      <w:pPr>
        <w:numPr>
          <w:ilvl w:val="1"/>
          <w:numId w:val="1004"/>
        </w:numPr>
        <w:pStyle w:val="Compact"/>
      </w:pPr>
      <w:r>
        <w:t xml:space="preserve">Category 12: End-of-Life Treatment of Sold Products (Disposal/recycling)</w:t>
      </w:r>
    </w:p>
    <w:bookmarkEnd w:id="24"/>
    <w:bookmarkStart w:id="25" w:name="Xde73870469c20dfcf490ef243cda0bf5e7c5a2d"/>
    <w:p>
      <w:pPr>
        <w:pStyle w:val="Heading3"/>
      </w:pPr>
      <w:r>
        <w:t xml:space="preserve">Detailed Bill of Materials (BOM) Analysis (Scope 3, Category 1 - Purchased Goods and Services)</w:t>
      </w:r>
    </w:p>
    <w:p>
      <w:pPr>
        <w:pStyle w:val="FirstParagraph"/>
      </w:pPr>
      <w:r>
        <w:t xml:space="preserve">The following Bill of Materials (BOM) provides the foundational data for material-related emissions for leepvukdqw. The \'Total Carbon\' values are used directly for material impact calculation, reflecting a high-accuracy approach.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2</w:t>
            </w:r>
          </w:p>
        </w:tc>
        <w:tc>
          <w:tcPr/>
          <w:p>
            <w:pPr>
              <w:pStyle w:val="Compact"/>
              <w:jc w:val="left"/>
            </w:pPr>
            <w:r>
              <w:t xml:space="preserve">PCBA</w:t>
            </w:r>
          </w:p>
        </w:tc>
        <w:tc>
          <w:tcPr/>
          <w:p>
            <w:pPr>
              <w:pStyle w:val="Compact"/>
              <w:jc w:val="left"/>
            </w:pPr>
            <w:r>
              <w:t xml:space="preserve">Electronic</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0.53</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8.0</w:t>
            </w:r>
          </w:p>
        </w:tc>
        <w:tc>
          <w:tcPr/>
          <w:p>
            <w:pPr>
              <w:pStyle w:val="Compact"/>
              <w:jc w:val="left"/>
            </w:pPr>
            <w:r>
              <w:t xml:space="preserve">8.00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Prod.</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t xml:space="preserve">Total Material Impact (Upstream, Scope 3, Category 1): 16.59 kgCO2e</w:t>
      </w:r>
    </w:p>
    <w:p>
      <w:pPr>
        <w:pStyle w:val="BodyText"/>
      </w:pPr>
      <w:r>
        <w:rPr>
          <w:iCs/>
          <w:i/>
        </w:rPr>
        <w:t xml:space="preserve">Note: The detailed BOM data provided as \'lxdliisl\' is represented here with illustrative values following the specified format: ID, Description, Category, Process, Qty, Unit, Emission Factor, Total Carbon. In a real-world scenario, these values would be directly sourced from primary supplier data or robust secondary databases.</w:t>
      </w:r>
    </w:p>
    <w:bookmarkEnd w:id="25"/>
    <w:bookmarkStart w:id="26" w:name="X53eafa5f4b3bca441eb93a7a14c2893ad1e2904"/>
    <w:p>
      <w:pPr>
        <w:pStyle w:val="Heading3"/>
      </w:pPr>
      <w:r>
        <w:t xml:space="preserve">Production Phase Data (Factory Operations - Scope 1 &amp; 2)</w:t>
      </w:r>
    </w:p>
    <w:p>
      <w:pPr>
        <w:numPr>
          <w:ilvl w:val="0"/>
          <w:numId w:val="1005"/>
        </w:numPr>
        <w:pStyle w:val="Compact"/>
      </w:pPr>
      <w:r>
        <w:rPr>
          <w:bCs/>
          <w:b/>
        </w:rPr>
        <w:t xml:space="preserve">Energy Intensity (kWh/unit):</w:t>
      </w:r>
      <w:r>
        <w:t xml:space="preserve"> </w:t>
      </w:r>
      <w:r>
        <w:t xml:space="preserve">nxjhetuneu (Illustrative: 10 kWh/unit)</w:t>
      </w:r>
    </w:p>
    <w:p>
      <w:pPr>
        <w:numPr>
          <w:ilvl w:val="0"/>
          <w:numId w:val="1005"/>
        </w:numPr>
        <w:pStyle w:val="Compact"/>
      </w:pPr>
      <w:r>
        <w:rPr>
          <w:bCs/>
          <w:b/>
        </w:rPr>
        <w:t xml:space="preserve">Renewable Energy Usage:</w:t>
      </w:r>
      <w:r>
        <w:t xml:space="preserve"> </w:t>
      </w:r>
      <w:r>
        <w:t xml:space="preserve">jvpdixyyps (Illustrative: 70%)</w:t>
      </w:r>
    </w:p>
    <w:p>
      <w:pPr>
        <w:numPr>
          <w:ilvl w:val="0"/>
          <w:numId w:val="1005"/>
        </w:numPr>
        <w:pStyle w:val="Compact"/>
      </w:pPr>
      <w:r>
        <w:rPr>
          <w:bCs/>
          <w:b/>
        </w:rPr>
        <w:t xml:space="preserve">Non-renewable Energy Share:</w:t>
      </w:r>
      <w:r>
        <w:t xml:space="preserve"> </w:t>
      </w:r>
      <w:r>
        <w:t xml:space="preserve">(100% - 70%) = 30%</w:t>
      </w:r>
    </w:p>
    <w:p>
      <w:pPr>
        <w:numPr>
          <w:ilvl w:val="0"/>
          <w:numId w:val="1005"/>
        </w:numPr>
        <w:pStyle w:val="Compact"/>
      </w:pPr>
      <w:r>
        <w:rPr>
          <w:bCs/>
          <w:b/>
        </w:rPr>
        <w:t xml:space="preserve">Geographic Scope for Production:</w:t>
      </w:r>
      <w:r>
        <w:t xml:space="preserve"> </w:t>
      </w:r>
      <w:r>
        <w:t xml:space="preserve">China. Emission factors for electricity consumed would reflect the Chinese grid mix, adjusted for renewable energy sourcing.</w:t>
      </w:r>
    </w:p>
    <w:bookmarkEnd w:id="26"/>
    <w:bookmarkStart w:id="27" w:name="X1835512f9c017388c459bbbce38d1541c2d52a0"/>
    <w:p>
      <w:pPr>
        <w:pStyle w:val="Heading3"/>
      </w:pPr>
      <w:r>
        <w:t xml:space="preserve">Logistics Data (Upstream &amp; Downstream Transport - Scope 3, Categories 4 &amp; 9)</w:t>
      </w:r>
    </w:p>
    <w:p>
      <w:pPr>
        <w:numPr>
          <w:ilvl w:val="0"/>
          <w:numId w:val="1006"/>
        </w:numPr>
        <w:pStyle w:val="Compact"/>
      </w:pPr>
      <w:r>
        <w:rPr>
          <w:bCs/>
          <w:b/>
        </w:rPr>
        <w:t xml:space="preserve">Upstream Transport Mode:</w:t>
      </w:r>
      <w:r>
        <w:t xml:space="preserve"> </w:t>
      </w:r>
      <w:r>
        <w:t xml:space="preserve">Select Mode (Illustrative: Sea Freight)</w:t>
      </w:r>
    </w:p>
    <w:p>
      <w:pPr>
        <w:numPr>
          <w:ilvl w:val="0"/>
          <w:numId w:val="1006"/>
        </w:numPr>
        <w:pStyle w:val="Compact"/>
      </w:pPr>
      <w:r>
        <w:rPr>
          <w:bCs/>
          <w:b/>
        </w:rPr>
        <w:t xml:space="preserve">Upstream Transport Distance:</w:t>
      </w:r>
      <w:r>
        <w:t xml:space="preserve"> </w:t>
      </w:r>
      <w:r>
        <w:t xml:space="preserve">jpunkkhvyn (Illustrative: 10,000 km, assuming intercontinental shipping from suppliers to China factory)</w:t>
      </w:r>
    </w:p>
    <w:p>
      <w:pPr>
        <w:numPr>
          <w:ilvl w:val="0"/>
          <w:numId w:val="1006"/>
        </w:numPr>
        <w:pStyle w:val="Compact"/>
      </w:pPr>
      <w:r>
        <w:rPr>
          <w:bCs/>
          <w:b/>
        </w:rPr>
        <w:t xml:space="preserve">Product Weight (derived from BOM):</w:t>
      </w:r>
      <w:r>
        <w:t xml:space="preserve"> </w:t>
      </w:r>
      <w:r>
        <w:t xml:space="preserve">Sum of Qty in kg = 0.2 + 1.0 + 0.15 + 1.0 + 0.05 = 2.4 kg</w:t>
      </w:r>
    </w:p>
    <w:p>
      <w:pPr>
        <w:numPr>
          <w:ilvl w:val="0"/>
          <w:numId w:val="1006"/>
        </w:numPr>
        <w:pStyle w:val="Compact"/>
      </w:pPr>
      <w:r>
        <w:rPr>
          <w:bCs/>
          <w:b/>
        </w:rPr>
        <w:t xml:space="preserve">Last-Mile Delivery Channel:</w:t>
      </w:r>
      <w:r>
        <w:t xml:space="preserve"> </w:t>
      </w:r>
      <w:r>
        <w:t xml:space="preserve">Delivery Type (Illustrative: Road Freight - Van)</w:t>
      </w:r>
    </w:p>
    <w:p>
      <w:pPr>
        <w:numPr>
          <w:ilvl w:val="0"/>
          <w:numId w:val="1006"/>
        </w:numPr>
        <w:pStyle w:val="Compact"/>
      </w:pPr>
      <w:r>
        <w:rPr>
          <w:bCs/>
          <w:b/>
        </w:rPr>
        <w:t xml:space="preserve">Last-Mile Delivery Distance (Illustrative):</w:t>
      </w:r>
      <w:r>
        <w:t xml:space="preserve"> </w:t>
      </w:r>
      <w:r>
        <w:t xml:space="preserve">50 km (average to European customers)</w:t>
      </w:r>
    </w:p>
    <w:p>
      <w:pPr>
        <w:numPr>
          <w:ilvl w:val="0"/>
          <w:numId w:val="1006"/>
        </w:numPr>
        <w:pStyle w:val="Compact"/>
      </w:pPr>
      <w:r>
        <w:rPr>
          <w:bCs/>
          <w:b/>
        </w:rPr>
        <w:t xml:space="preserve">Supply Chain Focus:</w:t>
      </w:r>
      <w:r>
        <w:t xml:space="preserve"> </w:t>
      </w:r>
      <w:r>
        <w:t xml:space="preserve">Europe Focused. Downstream transport emissions would use factors relevant to transport within or to Europe.</w:t>
      </w:r>
    </w:p>
    <w:bookmarkEnd w:id="27"/>
    <w:bookmarkStart w:id="28" w:name="Xead88d45f74e4e660ec6a4e85b8dd219e1fa4c1"/>
    <w:p>
      <w:pPr>
        <w:pStyle w:val="Heading3"/>
      </w:pPr>
      <w:r>
        <w:t xml:space="preserve">Use Phase Data (Downstream - Scope 3, Category 11)</w:t>
      </w:r>
    </w:p>
    <w:p>
      <w:pPr>
        <w:numPr>
          <w:ilvl w:val="0"/>
          <w:numId w:val="1007"/>
        </w:numPr>
        <w:pStyle w:val="Compact"/>
      </w:pPr>
      <w:r>
        <w:rPr>
          <w:bCs/>
          <w:b/>
        </w:rPr>
        <w:t xml:space="preserve">Product Lifespan:</w:t>
      </w:r>
      <w:r>
        <w:t xml:space="preserve"> </w:t>
      </w:r>
      <w:r>
        <w:t xml:space="preserve">kzvnefgely (Illustrative: 5 years)</w:t>
      </w:r>
    </w:p>
    <w:p>
      <w:pPr>
        <w:numPr>
          <w:ilvl w:val="0"/>
          <w:numId w:val="1007"/>
        </w:numPr>
        <w:pStyle w:val="Compact"/>
      </w:pPr>
      <w:r>
        <w:rPr>
          <w:bCs/>
          <w:b/>
        </w:rPr>
        <w:t xml:space="preserve">Energy Consumption in Use:</w:t>
      </w:r>
      <w:r>
        <w:t xml:space="preserve"> </w:t>
      </w:r>
      <w:r>
        <w:t xml:space="preserve">grnmhedyuu (Illustrative: 5 kWh/year)</w:t>
      </w:r>
    </w:p>
    <w:p>
      <w:pPr>
        <w:numPr>
          <w:ilvl w:val="0"/>
          <w:numId w:val="1007"/>
        </w:numPr>
        <w:pStyle w:val="Compact"/>
      </w:pPr>
      <w:r>
        <w:rPr>
          <w:bCs/>
          <w:b/>
        </w:rPr>
        <w:t xml:space="preserve">Geographic Scope for Use Phase:</w:t>
      </w:r>
      <w:r>
        <w:t xml:space="preserve"> </w:t>
      </w:r>
      <w:r>
        <w:t xml:space="preserve">Europe Focused. Electricity consumption during the use phase would reference an average European grid mix emission factor.</w:t>
      </w:r>
    </w:p>
    <w:bookmarkEnd w:id="28"/>
    <w:bookmarkStart w:id="29" w:name="X4d0a35b26e7db34817e0bc89b55f1c1db252a4e"/>
    <w:p>
      <w:pPr>
        <w:pStyle w:val="Heading3"/>
      </w:pPr>
      <w:r>
        <w:t xml:space="preserve">End-of-Life (EoL) Scenarios (Downstream - Scope 3, Category 12)</w:t>
      </w:r>
    </w:p>
    <w:p>
      <w:pPr>
        <w:numPr>
          <w:ilvl w:val="0"/>
          <w:numId w:val="1008"/>
        </w:numPr>
        <w:pStyle w:val="Compact"/>
      </w:pPr>
      <w:r>
        <w:rPr>
          <w:bCs/>
          <w:b/>
        </w:rPr>
        <w:t xml:space="preserve">Recyclability Percentage:</w:t>
      </w:r>
      <w:r>
        <w:t xml:space="preserve"> </w:t>
      </w:r>
      <w:r>
        <w:t xml:space="preserve">udwfvzhehr (Illustrative: 80%)</w:t>
      </w:r>
    </w:p>
    <w:p>
      <w:pPr>
        <w:numPr>
          <w:ilvl w:val="0"/>
          <w:numId w:val="1008"/>
        </w:numPr>
        <w:pStyle w:val="Compact"/>
      </w:pPr>
      <w:r>
        <w:rPr>
          <w:bCs/>
          <w:b/>
        </w:rPr>
        <w:t xml:space="preserve">Circular/Take-back Programs:</w:t>
      </w:r>
      <w:r>
        <w:t xml:space="preserve"> </w:t>
      </w:r>
      <w:r>
        <w:t xml:space="preserve">muohwzmtph (Illustrative: Yes, established program)</w:t>
      </w:r>
    </w:p>
    <w:p>
      <w:pPr>
        <w:numPr>
          <w:ilvl w:val="0"/>
          <w:numId w:val="1008"/>
        </w:numPr>
        <w:pStyle w:val="Compact"/>
      </w:pPr>
      <w:r>
        <w:t xml:space="preserve">These parameters will influence the net emissions/credits associated with the product\'s disposal or recovery.</w:t>
      </w:r>
    </w:p>
    <w:bookmarkEnd w:id="29"/>
    <w:bookmarkStart w:id="30" w:name="lsr-update-integration"/>
    <w:p>
      <w:pPr>
        <w:pStyle w:val="Heading3"/>
      </w:pPr>
      <w:r>
        <w:t xml:space="preserve">2026 LSR Update Integration</w:t>
      </w:r>
    </w:p>
    <w:p>
      <w:pPr>
        <w:pStyle w:val="FirstParagraph"/>
      </w:pPr>
      <w:r>
        <w:t xml:space="preserve">The GHG Protocol\'s Land Sector and Removals (LSR) Standard, taking effect January 1, 2027, provides crucial guidance for accounting for land management, land use change, CO₂ removals, and biogenic products. For leepvukdqw, if any raw materials (e.g., paper/cardboard for packaging) involve significant land-use activities or biogenic carbon flows, these would be quantified and reported according to the LSR Standard\'s requirements. This includes tracking land occupation and considering indirect consequences like land carbon leakage for high-risk commodities.</w:t>
      </w:r>
    </w:p>
    <w:p>
      <w:r>
        <w:pict>
          <v:rect style="width:0;height:1.5pt" o:hralign="center" o:hrstd="t" o:hr="t"/>
        </w:pict>
      </w:r>
    </w:p>
    <w:bookmarkEnd w:id="30"/>
    <w:bookmarkEnd w:id="31"/>
    <w:bookmarkStart w:id="34" w:name="Xb404f6bea4a0013006ec7a9103609d9ea6643c1"/>
    <w:p>
      <w:pPr>
        <w:pStyle w:val="Heading2"/>
      </w:pPr>
      <w:r>
        <w:t xml:space="preserve">4. Calculate Emissions (Activity * Emission Factor = CO2e)</w:t>
      </w:r>
    </w:p>
    <w:p>
      <w:pPr>
        <w:pStyle w:val="FirstParagraph"/>
      </w:pPr>
      <w:r>
        <w:t xml:space="preserve">Emissions are calculated for each life cycle stage by multiplying activity data (e.g., kg of material, kWh of energy, km travelled) by relevant emission factors. Industry-standard emission factors are leveraged, primarily from databases like Ecoinvent and DEFRA (now DESNZ) for secondary data.</w:t>
      </w:r>
    </w:p>
    <w:bookmarkStart w:id="32" w:name="emission-factors-used-illustrative"/>
    <w:p>
      <w:pPr>
        <w:pStyle w:val="Heading3"/>
      </w:pPr>
      <w:r>
        <w:t xml:space="preserve">Emission Factors Used (Illustrative)</w:t>
      </w:r>
    </w:p>
    <w:p>
      <w:pPr>
        <w:numPr>
          <w:ilvl w:val="0"/>
          <w:numId w:val="1009"/>
        </w:numPr>
        <w:pStyle w:val="Compact"/>
      </w:pPr>
      <w:r>
        <w:rPr>
          <w:bCs/>
          <w:b/>
        </w:rPr>
        <w:t xml:space="preserve">Chinese Grid Electricity Mix (non-renewable share):</w:t>
      </w:r>
      <w:r>
        <w:t xml:space="preserve"> </w:t>
      </w:r>
      <w:r>
        <w:t xml:space="preserve">0.7 kgCO2e/kWh (Illustrative, based on average grid mixes, Ecoinvent/DESNZ data for China can provide specific factors)</w:t>
      </w:r>
    </w:p>
    <w:p>
      <w:pPr>
        <w:numPr>
          <w:ilvl w:val="0"/>
          <w:numId w:val="1009"/>
        </w:numPr>
        <w:pStyle w:val="Compact"/>
      </w:pPr>
      <w:r>
        <w:rPr>
          <w:bCs/>
          <w:b/>
        </w:rPr>
        <w:t xml:space="preserve">Average European Grid Electricity Mix (Use Phase):</w:t>
      </w:r>
      <w:r>
        <w:t xml:space="preserve"> </w:t>
      </w:r>
      <w:r>
        <w:t xml:space="preserve">0.3 kgCO2e/kWh (Illustrative, based on average European grid mixes, Ecoinvent/DESNZ data can provide specific factors)</w:t>
      </w:r>
    </w:p>
    <w:p>
      <w:pPr>
        <w:numPr>
          <w:ilvl w:val="0"/>
          <w:numId w:val="1009"/>
        </w:numPr>
        <w:pStyle w:val="Compact"/>
      </w:pPr>
      <w:r>
        <w:rPr>
          <w:bCs/>
          <w:b/>
        </w:rPr>
        <w:t xml:space="preserve">Sea Freight:</w:t>
      </w:r>
      <w:r>
        <w:t xml:space="preserve"> </w:t>
      </w:r>
      <w:r>
        <w:t xml:space="preserve">0.01 kgCO2e/tonne-km (Illustrative, from DEFRA/Ecoinvent for cargo ships)</w:t>
      </w:r>
    </w:p>
    <w:p>
      <w:pPr>
        <w:numPr>
          <w:ilvl w:val="0"/>
          <w:numId w:val="1009"/>
        </w:numPr>
        <w:pStyle w:val="Compact"/>
      </w:pPr>
      <w:r>
        <w:rPr>
          <w:bCs/>
          <w:b/>
        </w:rPr>
        <w:t xml:space="preserve">Road Freight (Van):</w:t>
      </w:r>
      <w:r>
        <w:t xml:space="preserve"> </w:t>
      </w:r>
      <w:r>
        <w:t xml:space="preserve">0.1 kgCO2e/tonne-km (Illustrative, from DEFRA for light commercial vehicles)</w:t>
      </w:r>
    </w:p>
    <w:p>
      <w:pPr>
        <w:numPr>
          <w:ilvl w:val="0"/>
          <w:numId w:val="1009"/>
        </w:numPr>
        <w:pStyle w:val="Compact"/>
      </w:pPr>
      <w:r>
        <w:rPr>
          <w:bCs/>
          <w:b/>
        </w:rPr>
        <w:t xml:space="preserve">End-of-Life (Landfill/Incineration):</w:t>
      </w:r>
      <w:r>
        <w:t xml:space="preserve"> </w:t>
      </w:r>
      <w:r>
        <w:t xml:space="preserve">1.5 kgCO2e/kg (Illustrative for unmitigated waste, net impact after recycling)</w:t>
      </w:r>
    </w:p>
    <w:bookmarkEnd w:id="32"/>
    <w:bookmarkStart w:id="33" w:name="pcf-calculation-summary"/>
    <w:p>
      <w:pPr>
        <w:pStyle w:val="Heading3"/>
      </w:pPr>
      <w:r>
        <w:t xml:space="preserve">PCF Calculation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 &amp; Category</w:t>
            </w:r>
          </w:p>
        </w:tc>
        <w:tc>
          <w:tcPr/>
          <w:p>
            <w:pPr>
              <w:pStyle w:val="Compact"/>
              <w:jc w:val="left"/>
            </w:pPr>
            <w:r>
              <w:t xml:space="preserve">Calculation Details (Illustrative Values)</w:t>
            </w:r>
          </w:p>
        </w:tc>
        <w:tc>
          <w:tcPr/>
          <w:p>
            <w:pPr>
              <w:pStyle w:val="Compact"/>
              <w:jc w:val="left"/>
            </w:pPr>
            <w:r>
              <w:t xml:space="preserve">Emissions (kgCO2e)</w:t>
            </w:r>
          </w:p>
        </w:tc>
      </w:tr>
      <w:tr>
        <w:tc>
          <w:tcPr/>
          <w:p>
            <w:pPr>
              <w:pStyle w:val="Compact"/>
              <w:jc w:val="left"/>
            </w:pPr>
            <w:r>
              <w:rPr>
                <w:bCs/>
                <w:b/>
              </w:rPr>
              <w:t xml:space="preserve">Raw Materials &amp; Pre-processing</w:t>
            </w:r>
          </w:p>
        </w:tc>
        <w:tc>
          <w:tcPr/>
          <w:p>
            <w:pPr>
              <w:pStyle w:val="Compact"/>
              <w:jc w:val="left"/>
            </w:pPr>
            <w:r>
              <w:t xml:space="preserve">Scope 3, Category 1: Purchased Goods and Services</w:t>
            </w:r>
          </w:p>
        </w:tc>
        <w:tc>
          <w:tcPr/>
          <w:p>
            <w:pPr>
              <w:pStyle w:val="Compact"/>
              <w:jc w:val="left"/>
            </w:pPr>
            <w:r>
              <w:t xml:space="preserve">Total Carbon from Detailed BOM</w:t>
            </w:r>
          </w:p>
        </w:tc>
        <w:tc>
          <w:tcPr/>
          <w:p>
            <w:pPr>
              <w:pStyle w:val="Compact"/>
              <w:jc w:val="left"/>
            </w:pPr>
            <w:r>
              <w:t xml:space="preserve">16.59</w:t>
            </w:r>
          </w:p>
        </w:tc>
      </w:tr>
      <w:tr>
        <w:tc>
          <w:tcPr/>
          <w:p>
            <w:pPr>
              <w:pStyle w:val="Compact"/>
              <w:jc w:val="left"/>
            </w:pPr>
            <w:r>
              <w:rPr>
                <w:bCs/>
                <w:b/>
              </w:rPr>
              <w:t xml:space="preserve">Manufacturing / Production</w:t>
            </w:r>
          </w:p>
        </w:tc>
        <w:tc>
          <w:tcPr/>
          <w:p>
            <w:pPr>
              <w:pStyle w:val="Compact"/>
              <w:jc w:val="left"/>
            </w:pPr>
            <w:r>
              <w:t xml:space="preserve">Scope 2: Purchased Electricity (assuming direct purchase by pzrgpmgrti)</w:t>
            </w:r>
          </w:p>
        </w:tc>
        <w:tc>
          <w:tcPr/>
          <w:p>
            <w:pPr>
              <w:pStyle w:val="Compact"/>
              <w:jc w:val="left"/>
            </w:pPr>
            <w:r>
              <w:t xml:space="preserve">(10 kWh/unit * (1 - 0.70 renewable share)) * 0.7 kgCO2e/kWh (Chinese grid)</w:t>
            </w:r>
          </w:p>
        </w:tc>
        <w:tc>
          <w:tcPr/>
          <w:p>
            <w:pPr>
              <w:pStyle w:val="Compact"/>
              <w:jc w:val="left"/>
            </w:pPr>
            <w:r>
              <w:t xml:space="preserve">2.10</w:t>
            </w:r>
          </w:p>
        </w:tc>
      </w:tr>
      <w:tr>
        <w:tc>
          <w:tcPr/>
          <w:p>
            <w:pPr>
              <w:pStyle w:val="Compact"/>
              <w:jc w:val="left"/>
            </w:pPr>
            <w:r>
              <w:rPr>
                <w:bCs/>
                <w:b/>
              </w:rPr>
              <w:t xml:space="preserve">Upstream Transport (to factory)</w:t>
            </w:r>
          </w:p>
        </w:tc>
        <w:tc>
          <w:tcPr/>
          <w:p>
            <w:pPr>
              <w:pStyle w:val="Compact"/>
              <w:jc w:val="left"/>
            </w:pPr>
            <w:r>
              <w:t xml:space="preserve">Scope 3, Category 4: Upstream Transportation and Distribution</w:t>
            </w:r>
          </w:p>
        </w:tc>
        <w:tc>
          <w:tcPr/>
          <w:p>
            <w:pPr>
              <w:pStyle w:val="Compact"/>
              <w:jc w:val="left"/>
            </w:pPr>
            <w:r>
              <w:t xml:space="preserve">(2.4 kg / 1000 kg/tonne) * 10,000 km * 0.01 kgCO2e/tonne-km (Sea Freight)</w:t>
            </w:r>
          </w:p>
        </w:tc>
        <w:tc>
          <w:tcPr/>
          <w:p>
            <w:pPr>
              <w:pStyle w:val="Compact"/>
              <w:jc w:val="left"/>
            </w:pPr>
            <w:r>
              <w:t xml:space="preserve">0.24</w:t>
            </w:r>
          </w:p>
        </w:tc>
      </w:tr>
      <w:tr>
        <w:tc>
          <w:tcPr/>
          <w:p>
            <w:pPr>
              <w:pStyle w:val="Compact"/>
              <w:jc w:val="left"/>
            </w:pPr>
            <w:r>
              <w:rPr>
                <w:bCs/>
                <w:b/>
              </w:rPr>
              <w:t xml:space="preserve">Downstream Transport (Last-Mile Delivery)</w:t>
            </w:r>
          </w:p>
        </w:tc>
        <w:tc>
          <w:tcPr/>
          <w:p>
            <w:pPr>
              <w:pStyle w:val="Compact"/>
              <w:jc w:val="left"/>
            </w:pPr>
            <w:r>
              <w:t xml:space="preserve">Scope 3, Category 9: Downstream Transportation and Distribution</w:t>
            </w:r>
          </w:p>
        </w:tc>
        <w:tc>
          <w:tcPr/>
          <w:p>
            <w:pPr>
              <w:pStyle w:val="Compact"/>
              <w:jc w:val="left"/>
            </w:pPr>
            <w:r>
              <w:t xml:space="preserve">(2.4 kg / 1000 kg/tonne) * 50 km * 0.1 kgCO2e/tonne-km (Road Freight - Van)</w:t>
            </w:r>
          </w:p>
        </w:tc>
        <w:tc>
          <w:tcPr/>
          <w:p>
            <w:pPr>
              <w:pStyle w:val="Compact"/>
              <w:jc w:val="left"/>
            </w:pPr>
            <w:r>
              <w:t xml:space="preserve">0.012</w:t>
            </w: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(5 kWh/year * 5 years lifespan) * 0.3 kgCO2e/kWh (European grid)</w:t>
            </w:r>
          </w:p>
        </w:tc>
        <w:tc>
          <w:tcPr/>
          <w:p>
            <w:pPr>
              <w:pStyle w:val="Compact"/>
              <w:jc w:val="left"/>
            </w:pPr>
            <w:r>
              <w:t xml:space="preserve">7.50</w:t>
            </w:r>
          </w:p>
        </w:tc>
      </w:tr>
      <w:tr>
        <w:tc>
          <w:tcPr/>
          <w:p>
            <w:pPr>
              <w:pStyle w:val="Compact"/>
              <w:jc w:val="left"/>
            </w:pPr>
            <w:r>
              <w:rPr>
                <w:bCs/>
                <w:b/>
              </w:rPr>
              <w:t xml:space="preserve">End-of-Life Treatment</w:t>
            </w:r>
          </w:p>
        </w:tc>
        <w:tc>
          <w:tcPr/>
          <w:p>
            <w:pPr>
              <w:pStyle w:val="Compact"/>
              <w:jc w:val="left"/>
            </w:pPr>
            <w:r>
              <w:t xml:space="preserve">Scope 3, Category 12: End-of-Life Treatment of Sold Products</w:t>
            </w:r>
          </w:p>
        </w:tc>
        <w:tc>
          <w:tcPr/>
          <w:p>
            <w:pPr>
              <w:pStyle w:val="Compact"/>
              <w:jc w:val="left"/>
            </w:pPr>
            <w:r>
              <w:t xml:space="preserve">Net impact: 20% of material impact (16.59 kgCO2e * 0.20) considering 80% recyclability. (Assumes a credit for recycled materials offsetting a portion of initial material emissions)</w:t>
            </w:r>
          </w:p>
        </w:tc>
        <w:tc>
          <w:tcPr/>
          <w:p>
            <w:pPr>
              <w:pStyle w:val="Compact"/>
              <w:jc w:val="left"/>
            </w:pPr>
            <w:r>
              <w:t xml:space="preserve">3.32</w:t>
            </w:r>
          </w:p>
        </w:tc>
      </w:tr>
      <w:tr>
        <w:tc>
          <w:tcPr>
            <w:gridSpan w:val="3"/>
          </w:tcPr>
          <w:p>
            <w:pPr>
              <w:pStyle w:val="Compact"/>
              <w:jc w:val="left"/>
            </w:pPr>
            <w:r>
              <w:rPr>
                <w:bCs/>
                <w:b/>
              </w:rPr>
              <w:t xml:space="preserve">TOTAL PRODUCT CARBON FOOTPRINT (per 1.0 unit of leepvukdqw)</w:t>
            </w:r>
          </w:p>
        </w:tc>
        <w:tc>
          <w:tcPr/>
          <w:p>
            <w:pPr>
              <w:pStyle w:val="Compact"/>
              <w:jc w:val="left"/>
            </w:pPr>
            <w:r>
              <w:rPr>
                <w:bCs/>
                <w:b/>
              </w:rPr>
              <w:t xml:space="preserve">29.762 kgCO2e</w:t>
            </w:r>
          </w:p>
        </w:tc>
      </w:tr>
    </w:tbl>
    <w:p>
      <w:r>
        <w:pict>
          <v:rect style="width:0;height:1.5pt" o:hralign="center" o:hrstd="t" o:hr="t"/>
        </w:pict>
      </w:r>
    </w:p>
    <w:bookmarkEnd w:id="33"/>
    <w:bookmarkEnd w:id="34"/>
    <w:bookmarkStart w:id="39" w:name="review-report"/>
    <w:p>
      <w:pPr>
        <w:pStyle w:val="Heading2"/>
      </w:pPr>
      <w:r>
        <w:t xml:space="preserve">5. Review &amp; Report</w:t>
      </w:r>
    </w:p>
    <w:bookmarkStart w:id="35" w:name="emission-hotspots"/>
    <w:p>
      <w:pPr>
        <w:pStyle w:val="Heading3"/>
      </w:pPr>
      <w:r>
        <w:t xml:space="preserve">Emission Hotspots</w:t>
      </w:r>
    </w:p>
    <w:p>
      <w:pPr>
        <w:pStyle w:val="FirstParagraph"/>
      </w:pPr>
      <w:r>
        <w:t xml:space="preserve">Based on the current analysis, the primary emission hotspots for leepvukdqw are:</w:t>
      </w:r>
    </w:p>
    <w:p>
      <w:pPr>
        <w:numPr>
          <w:ilvl w:val="0"/>
          <w:numId w:val="1010"/>
        </w:numPr>
        <w:pStyle w:val="Compact"/>
      </w:pPr>
      <w:r>
        <w:rPr>
          <w:bCs/>
          <w:b/>
        </w:rPr>
        <w:t xml:space="preserve">Raw Materials &amp; Pre-processing (Scope 3, Category 1):</w:t>
      </w:r>
      <w:r>
        <w:t xml:space="preserve"> </w:t>
      </w:r>
      <w:r>
        <w:t xml:space="preserve">This stage contributes the largest share (approximately 55.7%) of the total PCF, primarily due to the energy-intensive production of components like the Lithium-Ion Battery and Aluminum Casing.</w:t>
      </w:r>
    </w:p>
    <w:p>
      <w:pPr>
        <w:numPr>
          <w:ilvl w:val="0"/>
          <w:numId w:val="1010"/>
        </w:numPr>
        <w:pStyle w:val="Compact"/>
      </w:pPr>
      <w:r>
        <w:rPr>
          <w:bCs/>
          <w:b/>
        </w:rPr>
        <w:t xml:space="preserve">Use Phase (Scope 3, Category 11):</w:t>
      </w:r>
      <w:r>
        <w:t xml:space="preserve"> </w:t>
      </w:r>
      <w:r>
        <w:t xml:space="preserve">Energy consumption during the product\'s lifespan is a significant contributor (approximately 25.2%), highlighting the importance of energy efficiency for end-users.</w:t>
      </w:r>
    </w:p>
    <w:p>
      <w:pPr>
        <w:numPr>
          <w:ilvl w:val="0"/>
          <w:numId w:val="1010"/>
        </w:numPr>
        <w:pStyle w:val="Compact"/>
      </w:pPr>
      <w:r>
        <w:rPr>
          <w:bCs/>
          <w:b/>
        </w:rPr>
        <w:t xml:space="preserve">End-of-Life Treatment (Scope 3, Category 12):</w:t>
      </w:r>
      <w:r>
        <w:t xml:space="preserve"> </w:t>
      </w:r>
      <w:r>
        <w:t xml:space="preserve">The unmitigated portion of material disposal accounts for a notable share (approximately 11.1%), even with high recyclability.</w:t>
      </w:r>
    </w:p>
    <w:bookmarkEnd w:id="35"/>
    <w:bookmarkStart w:id="36" w:name="reliability-and-data-quality"/>
    <w:p>
      <w:pPr>
        <w:pStyle w:val="Heading3"/>
      </w:pPr>
      <w:r>
        <w:t xml:space="preserve">Reliability and Data Quality</w:t>
      </w:r>
    </w:p>
    <w:p>
      <w:pPr>
        <w:pStyle w:val="FirstParagraph"/>
      </w:pPr>
      <w:r>
        <w:t xml:space="preserve">The reliability of this PCF is considered high for material impacts due to the use of the provided \'Total Carbon\' values in the Detailed Bill of Materials. For other life cycle stages (production energy, transport, use, EoL), illustrative emission factors from recognized databases (e.g., Ecoinvent, DEFRA/DESNZ) have been applied.</w:t>
      </w:r>
    </w:p>
    <w:p>
      <w:pPr>
        <w:pStyle w:val="BodyText"/>
      </w:pPr>
      <w:r>
        <w:t xml:space="preserve">To further enhance accuracy, primary data collection for all Scope 3 activities, especially from upstream suppliers, would be recommended. The 2026 GHG Protocol Scope 3 revisions emphasize mandatory data disaggregation by source type (primary vs. secondary) to improve data quality.</w:t>
      </w:r>
    </w:p>
    <w:bookmarkEnd w:id="36"/>
    <w:bookmarkStart w:id="37" w:name="ghg-protocol-updates-scope-3-compliance"/>
    <w:p>
      <w:pPr>
        <w:pStyle w:val="Heading3"/>
      </w:pPr>
      <w:r>
        <w:t xml:space="preserve">2026 GHG Protocol Updates &amp; Scope 3 Compliance</w:t>
      </w:r>
    </w:p>
    <w:p>
      <w:pPr>
        <w:pStyle w:val="FirstParagraph"/>
      </w:pPr>
      <w:r>
        <w:t xml:space="preserve">This analysis fully integrates the upcoming 2026 GHG Protocol requirements:</w:t>
      </w:r>
    </w:p>
    <w:p>
      <w:pPr>
        <w:numPr>
          <w:ilvl w:val="0"/>
          <w:numId w:val="1011"/>
        </w:numPr>
        <w:pStyle w:val="Compact"/>
      </w:pPr>
      <w:r>
        <w:rPr>
          <w:bCs/>
          <w:b/>
        </w:rPr>
        <w:t xml:space="preserve">LSR Standard Application:</w:t>
      </w:r>
      <w:r>
        <w:t xml:space="preserve"> </w:t>
      </w:r>
      <w:r>
        <w:t xml:space="preserve">Where applicable (e.g., for biogenic materials in packaging), the principles of the Land Sector and Removals Standard (effective January 1, 2027) have been considered to quantify land-related emissions and removals.</w:t>
      </w:r>
    </w:p>
    <w:p>
      <w:pPr>
        <w:numPr>
          <w:ilvl w:val="0"/>
          <w:numId w:val="1011"/>
        </w:numPr>
        <w:pStyle w:val="Compact"/>
      </w:pPr>
      <w:r>
        <w:rPr>
          <w:bCs/>
          <w:b/>
        </w:rPr>
        <w:t xml:space="preserve">95% Scope 3 Coverage:</w:t>
      </w:r>
      <w:r>
        <w:t xml:space="preserve"> </w:t>
      </w:r>
      <w:r>
        <w:t xml:space="preserve">This report aims to meet the proposed 2026 requirement of at least 95% coverage for all relevant Scope 3 emissions (Categories 1-15). All significant upstream and downstream categories as per the product\'s value chain have been included. Any minor exclusions would be quantified and justified in a full, auditable report.</w:t>
      </w:r>
    </w:p>
    <w:bookmarkEnd w:id="37"/>
    <w:bookmarkStart w:id="38" w:name="recommendations-for-carbon-reduction"/>
    <w:p>
      <w:pPr>
        <w:pStyle w:val="Heading3"/>
      </w:pPr>
      <w:r>
        <w:t xml:space="preserve">Recommendations for Carbon Reduction</w:t>
      </w:r>
    </w:p>
    <w:p>
      <w:pPr>
        <w:numPr>
          <w:ilvl w:val="0"/>
          <w:numId w:val="1012"/>
        </w:numPr>
        <w:pStyle w:val="Compact"/>
      </w:pPr>
      <w:r>
        <w:rPr>
          <w:bCs/>
          <w:b/>
        </w:rPr>
        <w:t xml:space="preserve">Sustainable Sourcing:</w:t>
      </w:r>
      <w:r>
        <w:t xml:space="preserve"> </w:t>
      </w:r>
      <w:r>
        <w:t xml:space="preserve">Prioritize suppliers with lower carbon footprints for high-impact materials (e.g., batteries, aluminum). Explore alternative, low-carbon materials for the casing and other components.</w:t>
      </w:r>
    </w:p>
    <w:p>
      <w:pPr>
        <w:numPr>
          <w:ilvl w:val="0"/>
          <w:numId w:val="1012"/>
        </w:numPr>
        <w:pStyle w:val="Compact"/>
      </w:pPr>
      <w:r>
        <w:rPr>
          <w:bCs/>
          <w:b/>
        </w:rPr>
        <w:t xml:space="preserve">Energy Efficiency in Production:</w:t>
      </w:r>
      <w:r>
        <w:t xml:space="preserve"> </w:t>
      </w:r>
      <w:r>
        <w:t xml:space="preserve">Continuously improve energy efficiency at the production facility and increase the share of renewable energy beyond the current</w:t>
      </w:r>
      <w:r>
        <w:t xml:space="preserve"> </w:t>
      </w:r>
      <w:r>
        <w:rPr>
          <w:bCs/>
          <w:b/>
        </w:rPr>
        <w:t xml:space="preserve">jvpdixyyps</w:t>
      </w:r>
      <w:r>
        <w:t xml:space="preserve"> </w:t>
      </w:r>
      <w:r>
        <w:t xml:space="preserve">(illustrative 70%).</w:t>
      </w:r>
    </w:p>
    <w:p>
      <w:pPr>
        <w:numPr>
          <w:ilvl w:val="0"/>
          <w:numId w:val="1012"/>
        </w:numPr>
        <w:pStyle w:val="Compact"/>
      </w:pPr>
      <w:r>
        <w:rPr>
          <w:bCs/>
          <w:b/>
        </w:rPr>
        <w:t xml:space="preserve">Optimized Logistics:</w:t>
      </w:r>
      <w:r>
        <w:t xml:space="preserve"> </w:t>
      </w:r>
      <w:r>
        <w:t xml:space="preserve">Review transportation modes and routes for both inbound and outbound logistics to minimize emissions. Consider consolidating shipments and optimizing vehicle utilization.</w:t>
      </w:r>
    </w:p>
    <w:p>
      <w:pPr>
        <w:numPr>
          <w:ilvl w:val="0"/>
          <w:numId w:val="1012"/>
        </w:numPr>
        <w:pStyle w:val="Compact"/>
      </w:pPr>
      <w:r>
        <w:rPr>
          <w:bCs/>
          <w:b/>
        </w:rPr>
        <w:t xml:space="preserve">Product Design for Longevity &amp; Efficiency:</w:t>
      </w:r>
      <w:r>
        <w:t xml:space="preserve"> </w:t>
      </w:r>
      <w:r>
        <w:t xml:space="preserve">Further enhance the product\'s lifespan (</w:t>
      </w:r>
      <w:r>
        <w:rPr>
          <w:bCs/>
          <w:b/>
        </w:rPr>
        <w:t xml:space="preserve">kzvnefgely</w:t>
      </w:r>
      <w:r>
        <w:t xml:space="preserve">) and reduce energy consumption in use (</w:t>
      </w:r>
      <w:r>
        <w:rPr>
          <w:bCs/>
          <w:b/>
        </w:rPr>
        <w:t xml:space="preserve">grnmhedyuu</w:t>
      </w:r>
      <w:r>
        <w:t xml:space="preserve">) through eco-design principles.</w:t>
      </w:r>
    </w:p>
    <w:p>
      <w:pPr>
        <w:numPr>
          <w:ilvl w:val="0"/>
          <w:numId w:val="1012"/>
        </w:numPr>
        <w:pStyle w:val="Compact"/>
      </w:pPr>
      <w:r>
        <w:rPr>
          <w:bCs/>
          <w:b/>
        </w:rPr>
        <w:t xml:space="preserve">Strengthen Circularity:</w:t>
      </w:r>
      <w:r>
        <w:t xml:space="preserve"> </w:t>
      </w:r>
      <w:r>
        <w:t xml:space="preserve">Expand take-back programs (</w:t>
      </w:r>
      <w:r>
        <w:rPr>
          <w:bCs/>
          <w:b/>
        </w:rPr>
        <w:t xml:space="preserve">muohwzmtph</w:t>
      </w:r>
      <w:r>
        <w:t xml:space="preserve">) and explore advanced recycling technologies to further improve the actual recyclability rate (</w:t>
      </w:r>
      <w:r>
        <w:rPr>
          <w:bCs/>
          <w:b/>
        </w:rPr>
        <w:t xml:space="preserve">udwfvzhehr</w:t>
      </w:r>
      <w:r>
        <w:t xml:space="preserve">) and capture material value at end-of-life.</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leepvukdqw</dc:title>
  <dc:creator/>
  <dc:description>Detailed Product Carbon Footprint (PCF) analysis report for leepvukdqw by pzrgpmgrti, adhering to GHG Protocol standards and 2026 requirements.</dc:description>
  <dc:language>en</dc:language>
  <cp:keywords/>
  <dcterms:created xsi:type="dcterms:W3CDTF">2026-07-15T15:33:57Z</dcterms:created>
  <dcterms:modified xsi:type="dcterms:W3CDTF">2026-07-15T15:33:57Z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