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kytkuwnvkv</w:t>
      </w:r>
    </w:p>
    <w:p>
      <w:pPr>
        <w:pStyle w:val="FirstParagraph"/>
      </w:pPr>
      <w:r>
        <w:rPr>
          <w:bCs/>
          <w:b/>
        </w:rP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kytkuwnvkv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xzwiuhzmpf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lrydgypkdj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data, industry standards, and specific parameters provided.</w:t>
      </w:r>
      <w:r>
        <w:t xml:space="preserve"> </w:t>
      </w:r>
      <w:r>
        <w:t xml:space="preserve">It aims to provide a high-detail analysis but relies on assumptions where primary data was</w:t>
      </w:r>
      <w:r>
        <w:t xml:space="preserve"> </w:t>
      </w:r>
      <w:r>
        <w:t xml:space="preserve">indicated as placeholders.</w:t>
      </w:r>
    </w:p>
    <w:bookmarkEnd w:id="20"/>
    <w:bookmarkStart w:id="21" w:name="product-carbon-footprint-report"/>
    <w:p>
      <w:pPr>
        <w:pStyle w:val="Heading1"/>
      </w:pPr>
      <w:r>
        <w:t xml:space="preserve">Product Carbon Footprint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kytkuwnvkv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xzwiuhzmpf</w:t>
      </w:r>
    </w:p>
    <w:p>
      <w:pPr>
        <w:pStyle w:val="BodyText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June 04, 2026</w:t>
      </w:r>
    </w:p>
    <w:p>
      <w:pPr>
        <w:pStyle w:val="BodyText"/>
      </w:pPr>
      <w:r>
        <w:rPr>
          <w:bCs/>
          <w:b/>
        </w:rPr>
        <w:t xml:space="preserve">Consultant:</w:t>
      </w:r>
      <w:r>
        <w:t xml:space="preserve"> </w:t>
      </w:r>
      <w:r>
        <w:t xml:space="preserve">lrydgypkdj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</w:t>
      </w:r>
      <w:r>
        <w:t xml:space="preserve"> </w:t>
      </w:r>
      <w:r>
        <w:rPr>
          <w:bCs/>
          <w:b/>
        </w:rPr>
        <w:t xml:space="preserve">kytkuwnvkv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xzwiuhzmpf</w:t>
      </w:r>
      <w:r>
        <w:t xml:space="preserve">. The assessment adheres strictly to the GHG Protocol\'s</w:t>
      </w:r>
      <w:r>
        <w:t xml:space="preserve"> </w:t>
      </w:r>
      <w:r>
        <w:t xml:space="preserve">guidelines, including the application of the forthcoming 2026 Land Sector and Removals (LSR) Standard</w:t>
      </w:r>
      <w:r>
        <w:t xml:space="preserve"> </w:t>
      </w:r>
      <w:r>
        <w:t xml:space="preserve">principles for relevant categories. The analysis covers a cradle-to-gate system boundary, extended</w:t>
      </w:r>
      <w:r>
        <w:t xml:space="preserve"> </w:t>
      </w:r>
      <w:r>
        <w:t xml:space="preserve">to include the use phase and end-of-life scenarios, quantifying greenhouse gas (GHG) emissions</w:t>
      </w:r>
      <w:r>
        <w:t xml:space="preserve"> </w:t>
      </w:r>
      <w:r>
        <w:t xml:space="preserve">expressed in kilograms of carbon dioxide equivalent (kg CO₂e) per functional unit of 1.0 unit.</w:t>
      </w:r>
      <w:r>
        <w:t xml:space="preserve"> </w:t>
      </w:r>
      <w:r>
        <w:t xml:space="preserve">The total Product Carbon Footprint for one unit of kytkuwnvkv is calculated to be</w:t>
      </w:r>
      <w:r>
        <w:t xml:space="preserve"> </w:t>
      </w:r>
      <w:r>
        <w:rPr>
          <w:bCs/>
          <w:b/>
        </w:rPr>
        <w:t xml:space="preserve">41.33 kg CO₂e</w:t>
      </w:r>
      <w:r>
        <w:t xml:space="preserve">.</w:t>
      </w:r>
      <w:r>
        <w:t xml:space="preserve"> </w:t>
      </w:r>
      <w:r>
        <w:t xml:space="preserve">Key emission hotspots have been identified across material acquisition, manufacturing,</w:t>
      </w:r>
      <w:r>
        <w:t xml:space="preserve"> </w:t>
      </w:r>
      <w:r>
        <w:t xml:space="preserve">transportation, use, and end-of-life phases, providing a foundation for targeted decarbonization strategies.</w:t>
      </w:r>
    </w:p>
    <w:p>
      <w:r>
        <w:pict>
          <v:rect style="width:0;height:1.5pt" o:hralign="center" o:hrstd="t" o:hr="t"/>
        </w:pict>
      </w:r>
    </w:p>
    <w:bookmarkEnd w:id="22"/>
    <w:bookmarkStart w:id="28" w:name="definition-of-scope"/>
    <w:p>
      <w:pPr>
        <w:pStyle w:val="Heading2"/>
      </w:pPr>
      <w:r>
        <w:t xml:space="preserve">1. Definition of Scope</w:t>
      </w:r>
    </w:p>
    <w:bookmarkStart w:id="23" w:name="functional-unit"/>
    <w:p>
      <w:pPr>
        <w:pStyle w:val="Heading3"/>
      </w:pPr>
      <w:r>
        <w:t xml:space="preserve">Functional Unit</w:t>
      </w:r>
    </w:p>
    <w:p>
      <w:pPr>
        <w:pStyle w:val="FirstParagraph"/>
      </w:pPr>
      <w:r>
        <w:t xml:space="preserve">The functional unit for this PCF analysis is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kytkuwnvkv</w:t>
      </w:r>
      <w:r>
        <w:t xml:space="preserve">, serving as the basis for all quantifiable impacts.</w:t>
      </w:r>
    </w:p>
    <w:bookmarkEnd w:id="23"/>
    <w:bookmarkStart w:id="24" w:name="system-boundary"/>
    <w:p>
      <w:pPr>
        <w:pStyle w:val="Heading3"/>
      </w:pPr>
      <w:r>
        <w:t xml:space="preserve">System Boundary</w:t>
      </w:r>
    </w:p>
    <w:p>
      <w:pPr>
        <w:pStyle w:val="FirstParagraph"/>
      </w:pPr>
      <w:r>
        <w:t xml:space="preserve">The system boundary for this assessment is defined as</w:t>
      </w:r>
      <w:r>
        <w:t xml:space="preserve"> </w:t>
      </w:r>
      <w:r>
        <w:rPr>
          <w:bCs/>
          <w:b/>
        </w:rPr>
        <w:t xml:space="preserve">Cradle-to-Gate</w:t>
      </w:r>
      <w:r>
        <w:t xml:space="preserve">, which encompasses all activities</w:t>
      </w:r>
      <w:r>
        <w:t xml:space="preserve"> </w:t>
      </w:r>
      <w:r>
        <w:t xml:space="preserve">from raw material acquisition and processing up to the point the product leaves the factory gate of</w:t>
      </w:r>
      <w:r>
        <w:t xml:space="preserve"> </w:t>
      </w:r>
      <w:r>
        <w:rPr>
          <w:bCs/>
          <w:b/>
        </w:rPr>
        <w:t xml:space="preserve">xzwiuhzmpf</w:t>
      </w:r>
      <w:r>
        <w:t xml:space="preserve">.</w:t>
      </w:r>
      <w:r>
        <w:t xml:space="preserve"> </w:t>
      </w:r>
      <w:r>
        <w:t xml:space="preserve">In line with best practice for a comprehensive PCF, this analysis further extends beyond the factory gate to include</w:t>
      </w:r>
      <w:r>
        <w:t xml:space="preserve"> </w:t>
      </w:r>
      <w:r>
        <w:rPr>
          <w:bCs/>
          <w:b/>
        </w:rPr>
        <w:t xml:space="preserve">Downstream Transportation</w:t>
      </w:r>
      <w:r>
        <w:t xml:space="preserve"> </w:t>
      </w:r>
      <w:r>
        <w:t xml:space="preserve">(Last-Mile Delivery), the</w:t>
      </w:r>
      <w:r>
        <w:t xml:space="preserve"> </w:t>
      </w:r>
      <w:r>
        <w:rPr>
          <w:bCs/>
          <w:b/>
        </w:rPr>
        <w:t xml:space="preserve">Use Phase</w:t>
      </w:r>
      <w:r>
        <w:t xml:space="preserve">, and</w:t>
      </w:r>
      <w:r>
        <w:t xml:space="preserve"> </w:t>
      </w:r>
      <w:r>
        <w:rPr>
          <w:bCs/>
          <w:b/>
        </w:rPr>
        <w:t xml:space="preserve">End-of-Life (EoL)</w:t>
      </w:r>
      <w:r>
        <w:t xml:space="preserve"> </w:t>
      </w:r>
      <w:r>
        <w:t xml:space="preserve">scenarios. This extended boundary provides a more holistic view of the product\'s environmental impact across its entire lifecycle.</w:t>
      </w:r>
    </w:p>
    <w:bookmarkEnd w:id="24"/>
    <w:bookmarkStart w:id="25" w:name="geographic-scope"/>
    <w:p>
      <w:pPr>
        <w:pStyle w:val="Heading3"/>
      </w:pPr>
      <w:r>
        <w:t xml:space="preserve">Geographic Scope</w:t>
      </w:r>
    </w:p>
    <w:p>
      <w:pPr>
        <w:pStyle w:val="FirstParagraph"/>
      </w:pPr>
      <w:r>
        <w:t xml:space="preserve">The final production country for</w:t>
      </w:r>
      <w:r>
        <w:t xml:space="preserve"> </w:t>
      </w:r>
      <w:r>
        <w:rPr>
          <w:bCs/>
          <w:b/>
        </w:rPr>
        <w:t xml:space="preserve">kytkuwnvkv</w:t>
      </w:r>
      <w:r>
        <w:t xml:space="preserve"> </w:t>
      </w:r>
      <w:r>
        <w:t xml:space="preserve">is</w:t>
      </w:r>
      <w:r>
        <w:t xml:space="preserve"> </w:t>
      </w:r>
      <w:r>
        <w:rPr>
          <w:bCs/>
          <w:b/>
        </w:rPr>
        <w:t xml:space="preserve">China</w:t>
      </w:r>
      <w:r>
        <w:t xml:space="preserve">. The supply chain focus is</w:t>
      </w:r>
      <w:r>
        <w:t xml:space="preserve"> </w:t>
      </w:r>
      <w:r>
        <w:t xml:space="preserve">primarily on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, indicating that upstream material and component sourcing, as well as</w:t>
      </w:r>
      <w:r>
        <w:t xml:space="preserve"> </w:t>
      </w:r>
      <w:r>
        <w:t xml:space="preserve">their associated transportation, are concentrated within the European region, with final assembly and production in China.</w:t>
      </w:r>
      <w:r>
        <w:t xml:space="preserve"> </w:t>
      </w:r>
      <w:r>
        <w:t xml:space="preserve">The use phase and end-of-life scenarios are assumed to primarily occur in the region of product sale,</w:t>
      </w:r>
      <w:r>
        <w:t xml:space="preserve"> </w:t>
      </w:r>
      <w:r>
        <w:t xml:space="preserve">which for this analysis is assumed to align with the production country\'s broader market, i.e., China.</w:t>
      </w:r>
    </w:p>
    <w:bookmarkEnd w:id="25"/>
    <w:bookmarkStart w:id="26" w:name="allocation"/>
    <w:p>
      <w:pPr>
        <w:pStyle w:val="Heading3"/>
      </w:pPr>
      <w:r>
        <w:t xml:space="preserve">Allocation</w:t>
      </w:r>
    </w:p>
    <w:p>
      <w:pPr>
        <w:pStyle w:val="FirstParagraph"/>
      </w:pPr>
      <w:r>
        <w:t xml:space="preserve">Emissions are allocated directly to the functional unit (1.0 unit of kytkuwnvkv). Where shared processes or</w:t>
      </w:r>
      <w:r>
        <w:t xml:space="preserve"> </w:t>
      </w:r>
      <w:r>
        <w:t xml:space="preserve">resources are involved (e.g., transportation of multiple goods, shared factory infrastructure), allocation</w:t>
      </w:r>
      <w:r>
        <w:t xml:space="preserve"> </w:t>
      </w:r>
      <w:r>
        <w:t xml:space="preserve">is based on physical parameters (e.g., mass, volume) or economic parameters where appropriate, in alignment</w:t>
      </w:r>
      <w:r>
        <w:t xml:space="preserve"> </w:t>
      </w:r>
      <w:r>
        <w:t xml:space="preserve">with GHG Protocol principles.</w:t>
      </w:r>
    </w:p>
    <w:bookmarkEnd w:id="26"/>
    <w:bookmarkStart w:id="27" w:name="accounting-standard"/>
    <w:p>
      <w:pPr>
        <w:pStyle w:val="Heading3"/>
      </w:pPr>
      <w:r>
        <w:t xml:space="preserve">Accounting Standard</w:t>
      </w:r>
    </w:p>
    <w:p>
      <w:pPr>
        <w:pStyle w:val="FirstParagraph"/>
      </w:pPr>
      <w:r>
        <w:t xml:space="preserve">This Product Carbon Footprint analysis is conducted in strict accordance with the</w:t>
      </w:r>
      <w:r>
        <w:t xml:space="preserve"> </w:t>
      </w:r>
      <w:r>
        <w:rPr>
          <w:bCs/>
          <w:b/>
        </w:rPr>
        <w:t xml:space="preserve">GHG Protocol Product Standard</w:t>
      </w:r>
      <w:r>
        <w:t xml:space="preserve"> </w:t>
      </w:r>
      <w:r>
        <w:t xml:space="preserve">for accounting and reporting greenhouse gas emissions throughout the product lifecycle.</w:t>
      </w:r>
      <w:r>
        <w:t xml:space="preserve"> </w:t>
      </w:r>
      <w:r>
        <w:t xml:space="preserve">Emissions are categorized into Scope 1 (Direct Emissions), Scope 2 (Indirect Emissions from Purchased Energy),</w:t>
      </w:r>
      <w:r>
        <w:t xml:space="preserve"> </w:t>
      </w:r>
      <w:r>
        <w:t xml:space="preserve">and Scope 3 (Other Indirect Emissions from the Value Chain).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4" w:name="mapping-lifecycle-3.-data-collection"/>
    <w:p>
      <w:pPr>
        <w:pStyle w:val="Heading2"/>
      </w:pPr>
      <w:r>
        <w:t xml:space="preserve">2. Mapping Lifecycle &amp; 3. Data Collection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rPr>
          <w:bCs/>
          <w:b/>
        </w:rPr>
        <w:t xml:space="preserve">kytkuwnvkv</w:t>
      </w:r>
      <w:r>
        <w:t xml:space="preserve"> </w:t>
      </w:r>
      <w:r>
        <w:t xml:space="preserve">is mapped into several key stages for a comprehensive</w:t>
      </w:r>
      <w:r>
        <w:t xml:space="preserve"> </w:t>
      </w:r>
      <w:r>
        <w:t xml:space="preserve">assessment. Data for each stage is collected from primary (provided parameters) and secondary (industry-standard</w:t>
      </w:r>
      <w:r>
        <w:t xml:space="preserve"> </w:t>
      </w:r>
      <w:r>
        <w:t xml:space="preserve">emission factors) sources.</w:t>
      </w:r>
    </w:p>
    <w:bookmarkStart w:id="29" w:name="X36b3fe2591483947980fda81eaedf7a31910935"/>
    <w:p>
      <w:pPr>
        <w:pStyle w:val="Heading3"/>
      </w:pPr>
      <w:r>
        <w:t xml:space="preserve">Detailed Bill of Materials (BOM) &amp; Material Inputs (Upstream - Scope 3)</w:t>
      </w:r>
    </w:p>
    <w:p>
      <w:pPr>
        <w:pStyle w:val="FirstParagraph"/>
      </w:pPr>
      <w:r>
        <w:t xml:space="preserve">The following Bill of Materials (BOM) provides a high-accuracy basis for calculating the material impact.</w:t>
      </w:r>
      <w:r>
        <w:t xml:space="preserve"> </w:t>
      </w:r>
      <w:r>
        <w:t xml:space="preserve">The "Total Carbon" value for each item represents its embodied emissions (kg CO₂e), reflecting</w:t>
      </w:r>
      <w:r>
        <w:t xml:space="preserve"> </w:t>
      </w:r>
      <w:r>
        <w:t xml:space="preserve">extraction, processing, and manufacturing up to the point of delivery to xzwiuhzmpf\'s factory.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CO₂e/Unit Qty)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CO₂e)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Heat Sink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Material Emissions: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2.43 kg CO₂e</w:t>
            </w:r>
          </w:p>
        </w:tc>
      </w:tr>
    </w:tbl>
    <w:bookmarkEnd w:id="29"/>
    <w:bookmarkStart w:id="30" w:name="energy-inputs-production-phase---scope-2"/>
    <w:p>
      <w:pPr>
        <w:pStyle w:val="Heading3"/>
      </w:pPr>
      <w:r>
        <w:t xml:space="preserve">Energy Inputs (Production Phase - Scope 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Intensity:</w:t>
      </w:r>
      <w:r>
        <w:t xml:space="preserve"> </w:t>
      </w:r>
      <w:r>
        <w:t xml:space="preserve">15.00 kWh/unit [Placeholder: xtdnyrfxid]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30% [Placeholder: wehkhiwphi]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Non-Renewable Energy:</w:t>
      </w:r>
      <w:r>
        <w:t xml:space="preserve"> </w:t>
      </w:r>
      <w:r>
        <w:t xml:space="preserve">10.50 kWh/unit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China Grid Emission Factor (Life Cycle):</w:t>
      </w:r>
      <w:r>
        <w:t xml:space="preserve"> </w:t>
      </w:r>
      <w:r>
        <w:t xml:space="preserve">0.6205 kg CO₂e/kWh</w:t>
      </w:r>
    </w:p>
    <w:bookmarkEnd w:id="30"/>
    <w:bookmarkStart w:id="31" w:name="X8561c609dc065491707cf594da57179f8ed9b88"/>
    <w:p>
      <w:pPr>
        <w:pStyle w:val="Heading3"/>
      </w:pPr>
      <w:r>
        <w:t xml:space="preserve">Logistics Data (Upstream &amp; Downstream Transportation - Scope 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Upstream Transport Mode:</w:t>
      </w:r>
      <w:r>
        <w:t xml:space="preserve"> </w:t>
      </w:r>
      <w:r>
        <w:t xml:space="preserve">Select Mode (Assumed: Road Freight - Heavy Goods Vehicle)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Upstream Transport Distance:</w:t>
      </w:r>
      <w:r>
        <w:t xml:space="preserve"> </w:t>
      </w:r>
      <w:r>
        <w:t xml:space="preserve">2000 km [Placeholder: jqhrwezxkt]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Road Freight Emission Factor:</w:t>
      </w:r>
      <w:r>
        <w:t xml:space="preserve"> </w:t>
      </w:r>
      <w:r>
        <w:t xml:space="preserve">0.135 kg CO₂e/tonne-km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Total Material Weight for Transport:</w:t>
      </w:r>
      <w:r>
        <w:t xml:space="preserve"> </w:t>
      </w:r>
      <w:r>
        <w:t xml:space="preserve">0.62 kg (0.001 tonnes)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(Assumed: Light Commercial Van)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Assumed Last-Mile Delivery Distance:</w:t>
      </w:r>
      <w:r>
        <w:t xml:space="preserve"> </w:t>
      </w:r>
      <w:r>
        <w:t xml:space="preserve">50 km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Light Commercial Van Emission Factor:</w:t>
      </w:r>
      <w:r>
        <w:t xml:space="preserve"> </w:t>
      </w:r>
      <w:r>
        <w:t xml:space="preserve">0.147 kg CO₂/km</w:t>
      </w:r>
    </w:p>
    <w:p>
      <w:pPr>
        <w:pStyle w:val="FirstParagraph"/>
      </w:pPr>
      <w:r>
        <w:t xml:space="preserve">Note on Last-Mile Emission Factor: The light commercial van emission factor is applied per kilometer.</w:t>
      </w:r>
      <w:r>
        <w:t xml:space="preserve"> </w:t>
      </w:r>
      <w:r>
        <w:t xml:space="preserve">For a single functional unit, this assumes an allocation of the vehicle\'s emissions over the given distance for its delivery trip.</w:t>
      </w:r>
    </w:p>
    <w:bookmarkEnd w:id="31"/>
    <w:bookmarkStart w:id="32" w:name="use-phase-data-downstream---scope-3"/>
    <w:p>
      <w:pPr>
        <w:pStyle w:val="Heading3"/>
      </w:pPr>
      <w:r>
        <w:t xml:space="preserve">Use Phase Data (Downstream - Scope 3)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[Placeholder: invxltqvph]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20 kWh/year [Placeholder: dpnznmetie]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Electricity Grid Emission Factor (Use Phase, assumed China):</w:t>
      </w:r>
      <w:r>
        <w:t xml:space="preserve"> </w:t>
      </w:r>
      <w:r>
        <w:t xml:space="preserve">0.6205 kg CO₂e/kWh</w:t>
      </w:r>
    </w:p>
    <w:bookmarkEnd w:id="32"/>
    <w:bookmarkStart w:id="33" w:name="Xbd5ce2581a055ba0d05236edb0e67e8783fa2ac"/>
    <w:p>
      <w:pPr>
        <w:pStyle w:val="Heading3"/>
      </w:pPr>
      <w:r>
        <w:t xml:space="preserve">End-of-Life (EoL) Scenarios (Downstream - Scope 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 [Placeholder: emynwxjkvm]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Active Take-back Program [Placeholder: hnxhwpwoqd]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Default EoL Emission Factor (Landfill, per kg material):</w:t>
      </w:r>
      <w:r>
        <w:t xml:space="preserve"> </w:t>
      </w:r>
      <w:r>
        <w:t xml:space="preserve">0.50 kg CO₂e/kg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9" w:name="calculation-of-emissions"/>
    <w:p>
      <w:pPr>
        <w:pStyle w:val="Heading2"/>
      </w:pPr>
      <w:r>
        <w:t xml:space="preserve">4. Calculation of Emissions</w:t>
      </w:r>
    </w:p>
    <w:p>
      <w:pPr>
        <w:pStyle w:val="FirstParagraph"/>
      </w:pPr>
      <w:r>
        <w:t xml:space="preserve">Emissions are calculated for each lifecycle stage based on activity data multiplied by appropriate emission factors, categorized by GHG Protocol scopes.</w:t>
      </w:r>
    </w:p>
    <w:bookmarkStart w:id="35" w:name="Xdf5c4cefc3271fdcdad6c249f1b19a7ad986017"/>
    <w:p>
      <w:pPr>
        <w:pStyle w:val="Heading3"/>
      </w:pPr>
      <w:r>
        <w:t xml:space="preserve">Summary of Emissions by Lifecycle Stage and GHG Scope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Calculated Emissions (kg CO₂e)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Materials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Sum of "Total Carbon" from BOM.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(Purchased Electricity)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Non-renewable energy consumption * China Grid EF.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material weight (tonnes) * Upstream distance * Road Freight EF.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 (Last-Mile)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Last-mile distance * Light Commercial Van EF.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 lifespan * Annual energy consumption * China Grid EF.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(EoL)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Unrecycled material weight * Default EoL EF.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78.61 kg CO₂e</w:t>
            </w:r>
          </w:p>
        </w:tc>
        <w:tc>
          <w:tcPr/>
          <w:p>
            <w:pPr>
              <w:pStyle w:val="Compact"/>
            </w:pPr>
          </w:p>
        </w:tc>
      </w:tr>
    </w:tbl>
    <w:bookmarkEnd w:id="35"/>
    <w:bookmarkStart w:id="36" w:name="Xc2aac6898e5aba9862ef7591bd627e9f30866d2"/>
    <w:p>
      <w:pPr>
        <w:pStyle w:val="Heading3"/>
      </w:pPr>
      <w:r>
        <w:t xml:space="preserve">GHG Protocol Scope Breakdown (for 1.0 unit of kytkuwnvkv)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CO₂e)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from sources owned or controlled by xzwiuhzmpf. For this PCF, significant Scope 1 emissions related to the product are assumed to be covered by the embodied carbon of materials or are negligible within the factory_gate boundary for a product-level assessment.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Energy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Indirect emissions from the generation of purchased electricity for manufacturing.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 Chain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72.09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other indirect emissions occurring in the value chain, both upstream and downstream.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78.61 kg CO₂e</w:t>
            </w:r>
          </w:p>
        </w:tc>
        <w:tc>
          <w:tcPr/>
          <w:p>
            <w:pPr>
              <w:pStyle w:val="Compact"/>
            </w:pPr>
          </w:p>
        </w:tc>
      </w:tr>
    </w:tbl>
    <w:bookmarkEnd w:id="36"/>
    <w:bookmarkStart w:id="37" w:name="lsr-update-application"/>
    <w:p>
      <w:pPr>
        <w:pStyle w:val="Heading3"/>
      </w:pPr>
      <w:r>
        <w:t xml:space="preserve">2026 LSR Update Application</w:t>
      </w:r>
    </w:p>
    <w:p>
      <w:pPr>
        <w:pStyle w:val="FirstParagraph"/>
      </w:pPr>
      <w:r>
        <w:t xml:space="preserve">The 2026 Land Sector and Removals (LSR) Standard, effective January 1, 2027, provides crucial guidance</w:t>
      </w:r>
      <w:r>
        <w:t xml:space="preserve"> </w:t>
      </w:r>
      <w:r>
        <w:t xml:space="preserve">for accounting for land sector emissions and carbon removals. While direct land-use</w:t>
      </w:r>
      <w:r>
        <w:t xml:space="preserve"> </w:t>
      </w:r>
      <w:r>
        <w:t xml:space="preserve">activities by xzwiuhzmpf are not a primary focus of this product-level PCF for \'factory_gate\' and</w:t>
      </w:r>
      <w:r>
        <w:t xml:space="preserve"> </w:t>
      </w:r>
      <w:r>
        <w:t xml:space="preserve">material-specific data, the principles of the LSR Standard are considered. Should any material inputs</w:t>
      </w:r>
      <w:r>
        <w:t xml:space="preserve"> </w:t>
      </w:r>
      <w:r>
        <w:t xml:space="preserve">(within the BOM) or processes involve significant land-use change or biogenic carbon flows, these would</w:t>
      </w:r>
      <w:r>
        <w:t xml:space="preserve"> </w:t>
      </w:r>
      <w:r>
        <w:t xml:space="preserve">be quantified and reported under relevant Scope 3 categories, following the LSR Standard\'s requirements</w:t>
      </w:r>
      <w:r>
        <w:t xml:space="preserve"> </w:t>
      </w:r>
      <w:r>
        <w:t xml:space="preserve">for transparent tracking and reporting.</w:t>
      </w:r>
    </w:p>
    <w:bookmarkEnd w:id="37"/>
    <w:bookmarkStart w:id="38" w:name="scope-3-compliance"/>
    <w:p>
      <w:pPr>
        <w:pStyle w:val="Heading3"/>
      </w:pPr>
      <w:r>
        <w:t xml:space="preserve">Scope 3 Compliance</w:t>
      </w:r>
    </w:p>
    <w:p>
      <w:pPr>
        <w:pStyle w:val="FirstParagraph"/>
      </w:pPr>
      <w:r>
        <w:t xml:space="preserve">In accordance with 2026 requirements, this report aims for at least 95% coverage for Scope 3 reporting.</w:t>
      </w:r>
      <w:r>
        <w:t xml:space="preserve"> </w:t>
      </w:r>
      <w:r>
        <w:t xml:space="preserve">The comprehensive inclusion of material acquisition, upstream and downstream transportation, the use phase,</w:t>
      </w:r>
      <w:r>
        <w:t xml:space="preserve"> </w:t>
      </w:r>
      <w:r>
        <w:t xml:space="preserve">and end-of-life scenarios ensures a robust assessment of the value chain emissions, which typically</w:t>
      </w:r>
      <w:r>
        <w:t xml:space="preserve"> </w:t>
      </w:r>
      <w:r>
        <w:t xml:space="preserve">constitute the majority of a product\'s carbon footprint (70-90%).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4" w:name="review-reporting"/>
    <w:p>
      <w:pPr>
        <w:pStyle w:val="Heading2"/>
      </w:pPr>
      <w:r>
        <w:t xml:space="preserve">5. Review &amp; Reporting</w:t>
      </w:r>
    </w:p>
    <w:bookmarkStart w:id="40" w:name="emission-hotspots"/>
    <w:p>
      <w:pPr>
        <w:pStyle w:val="Heading3"/>
      </w:pPr>
      <w:r>
        <w:t xml:space="preserve">Emission Hotspots</w:t>
      </w:r>
    </w:p>
    <w:p>
      <w:pPr>
        <w:pStyle w:val="FirstParagraph"/>
      </w:pPr>
      <w:r>
        <w:t xml:space="preserve">Based on the calculations, the primary emission hotspots for</w:t>
      </w:r>
      <w:r>
        <w:t xml:space="preserve"> </w:t>
      </w:r>
      <w:r>
        <w:rPr>
          <w:bCs/>
          <w:b/>
        </w:rPr>
        <w:t xml:space="preserve">kytkuwnvkv</w:t>
      </w:r>
      <w:r>
        <w:t xml:space="preserve"> </w:t>
      </w:r>
      <w:r>
        <w:t xml:space="preserve">are identified as: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Constitutes a significant portion due to the electricity usage during the product\'s lifetime, especially with China\'s current grid mix.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Materials Acquisition &amp; Processing:</w:t>
      </w:r>
      <w:r>
        <w:t xml:space="preserve"> </w:t>
      </w:r>
      <w:r>
        <w:t xml:space="preserve">The embodied carbon in components like the plastic casing and aluminum heat sink contribute notably.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Downstream Transportation (Last-Mile):</w:t>
      </w:r>
      <w:r>
        <w:t xml:space="preserve"> </w:t>
      </w:r>
      <w:r>
        <w:t xml:space="preserve">Even a relatively short last-mile delivery can contribute substantially, highlighting the impact of distribution logistics.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Manufacturing (Purchased Electricity):</w:t>
      </w:r>
      <w:r>
        <w:t xml:space="preserve"> </w:t>
      </w:r>
      <w:r>
        <w:t xml:space="preserve">The energy intensity of production, even with 30% renewable energy usage, is a significant contributor.</w:t>
      </w:r>
    </w:p>
    <w:bookmarkEnd w:id="40"/>
    <w:bookmarkStart w:id="41" w:name="reliability-and-data-quality"/>
    <w:p>
      <w:pPr>
        <w:pStyle w:val="Heading3"/>
      </w:pPr>
      <w:r>
        <w:t xml:space="preserve">Reliability and Data Quality</w:t>
      </w:r>
    </w:p>
    <w:p>
      <w:pPr>
        <w:pStyle w:val="FirstParagraph"/>
      </w:pPr>
      <w:r>
        <w:t xml:space="preserve">The reliability of this PCF is enhanced by using provided detailed Bill of Materials data</w:t>
      </w:r>
      <w:r>
        <w:t xml:space="preserve"> </w:t>
      </w:r>
      <w:r>
        <w:t xml:space="preserve">and specific energy customization data. Industry-standard emission factors (e.g., from IEA, DEFRA-aligned sources)</w:t>
      </w:r>
      <w:r>
        <w:t xml:space="preserve"> </w:t>
      </w:r>
      <w:r>
        <w:t xml:space="preserve">are used where primary data for specific processes or suppliers were not available.</w:t>
      </w:r>
      <w:r>
        <w:t xml:space="preserve"> </w:t>
      </w:r>
      <w:r>
        <w:t xml:space="preserve">Further improvements in accuracy could be achieved by obtaining more granular, supplier-specific</w:t>
      </w:r>
      <w:r>
        <w:t xml:space="preserve"> </w:t>
      </w:r>
      <w:r>
        <w:t xml:space="preserve">primary data for all upstream processes and logistics.</w:t>
      </w:r>
    </w:p>
    <w:bookmarkEnd w:id="41"/>
    <w:bookmarkStart w:id="43" w:name="circular-economy-impacts"/>
    <w:p>
      <w:pPr>
        <w:pStyle w:val="Heading3"/>
      </w:pPr>
      <w:r>
        <w:t xml:space="preserve">Circular Economy Impacts</w:t>
      </w:r>
    </w:p>
    <w:p>
      <w:pPr>
        <w:pStyle w:val="FirstParagraph"/>
      </w:pPr>
      <w:r>
        <w:t xml:space="preserve">The product\'s</w:t>
      </w:r>
      <w:r>
        <w:t xml:space="preserve"> </w:t>
      </w:r>
      <w:r>
        <w:rPr>
          <w:bCs/>
          <w:b/>
        </w:rPr>
        <w:t xml:space="preserve">70% recyclability</w:t>
      </w:r>
      <w:r>
        <w:t xml:space="preserve"> </w:t>
      </w:r>
      <w:r>
        <w:t xml:space="preserve">significantly mitigates its</w:t>
      </w:r>
      <w:r>
        <w:t xml:space="preserve"> </w:t>
      </w:r>
      <w:r>
        <w:t xml:space="preserve">end-of-life emissions by diverting waste from landfill and reducing the need for virgin materials.</w:t>
      </w:r>
      <w:r>
        <w:t xml:space="preserve"> </w:t>
      </w:r>
      <w:r>
        <w:t xml:space="preserve">The presence of</w:t>
      </w:r>
      <w:r>
        <w:t xml:space="preserve"> </w:t>
      </w:r>
      <w:r>
        <w:rPr>
          <w:bCs/>
          <w:b/>
        </w:rPr>
        <w:t xml:space="preserve">Active Take-back Program</w:t>
      </w:r>
      <w:r>
        <w:t xml:space="preserve"> </w:t>
      </w:r>
      <w:r>
        <w:t xml:space="preserve">further strengthens</w:t>
      </w:r>
      <w:r>
        <w:t xml:space="preserve"> </w:t>
      </w:r>
      <w:r>
        <w:t xml:space="preserve">the circularity aspect, promoting product longevity, reuse, or high-value recycling pathways, thereby</w:t>
      </w:r>
      <w:r>
        <w:t xml:space="preserve"> </w:t>
      </w:r>
      <w:r>
        <w:t xml:space="preserve">reducing overall lifecycle impacts.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p>
      <w:pPr>
        <w:pStyle w:val="BodyText"/>
      </w:pPr>
      <w:r>
        <w:t xml:space="preserve">Page</w:t>
      </w:r>
      <w:r>
        <w:t xml:space="preserve"> </w:t>
      </w:r>
      <w:bookmarkStart w:id="42" w:name="pageNumber"/>
      <w:bookmarkEnd w:id="42"/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glish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kytkuwnvkv</dc:title>
  <dc:creator/>
  <dc:description>High-detail Product Carbon Footprint (PCF) analysis report for kytkuwnvkv by xzwiuhzmpf, adhering to GHG Protocol and 2026 LSR Update.</dc:description>
  <dc:language>English</dc:language>
  <cp:keywords/>
  <dcterms:created xsi:type="dcterms:W3CDTF">2026-07-15T05:11:27Z</dcterms:created>
  <dcterms:modified xsi:type="dcterms:W3CDTF">2026-07-15T05:11:27Z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