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kwtspsywvw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kwtspsywvw</w:t>
      </w:r>
    </w:p>
    <w:p>
      <w:pPr>
        <w:pStyle w:val="BodyText"/>
      </w:pPr>
      <w:r>
        <w:t xml:space="preserve">**Company Name:** yxyzmywijl</w:t>
      </w:r>
    </w:p>
    <w:p>
      <w:pPr>
        <w:pStyle w:val="BodyText"/>
      </w:pPr>
      <w:r>
        <w:t xml:space="preserve">**Accounting Standard:** GHG Protocol</w:t>
      </w:r>
    </w:p>
    <w:p>
      <w:pPr>
        <w:pStyle w:val="BodyText"/>
      </w:pPr>
      <w:r>
        <w:t xml:space="preserve">**Senior Sustainability Consultant:** hxllzdlxqn</w:t>
      </w:r>
    </w:p>
    <w:p>
      <w:pPr>
        <w:pStyle w:val="BodyText"/>
      </w:pPr>
      <w:r>
        <w:t xml:space="preserve">This report is generated based on available data and industry standards. While every effort has been made to ensure accuracy, the results are indicative and subject to the precision and completeness of the input parameters and emission factors used.</w:t>
      </w:r>
    </w:p>
    <w:bookmarkEnd w:id="20"/>
    <w:bookmarkStart w:id="21" w:name="Xb1eab98f8c475d18151726bf02ba66ecd0a44b6"/>
    <w:p>
      <w:pPr>
        <w:pStyle w:val="Heading1"/>
      </w:pPr>
      <w:r>
        <w:t xml:space="preserve">Product Carbon Footprint Analysis Report: kwtspsywvw</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"kwtspsywvw" manufactured by yxyzmywijl. The analysis was conducted by Senior Sustainability Consultant hxllzdlxqn, adhering to the GHG Protocol as the accounting standard. The primary objective is to quantify the greenhouse gas (GHG) emissions associated with the entire lifecycle of "kwtspsywvw", from raw material acquisition through manufacturing, transport, use, and end-of-life, to identify emission hotspots and inform strategic decarbonization efforts.</w:t>
      </w:r>
    </w:p>
    <w:p>
      <w:pPr>
        <w:pStyle w:val="BodyText"/>
      </w:pPr>
      <w:r>
        <w:t xml:space="preserve">The assessment incorporates specific data provided for the Bill of Materials (BOM), manufacturing energy, transport logistics, product use phase, and end-of-life scenarios, including recyclability and circular programs. It applies the 2026 Land Sector and Removals (LSR) Standard for land use and carbon removals conceptually and aims for at least 95% coverage for Scope 3 reporting, in line with emerging requirements.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of this Product Carbon Footprint (PCF) analysis involves clearly defining the parameters and boundaries for the assessment of "kwtspsywvw".</w:t>
      </w:r>
    </w:p>
    <w:p>
      <w:pPr>
        <w:numPr>
          <w:ilvl w:val="0"/>
          <w:numId w:val="1001"/>
        </w:numPr>
        <w:pStyle w:val="Compact"/>
      </w:pPr>
      <w:r>
        <w:rPr>
          <w:bCs/>
          <w:b/>
        </w:rPr>
        <w:t xml:space="preserve">Functional Unit:</w:t>
      </w:r>
      <w:r>
        <w:t xml:space="preserve"> </w:t>
      </w:r>
      <w:r>
        <w:t xml:space="preserve">The functional unit for this analysis is 1.0 unit of "kwtspsywvw". This unit serves as the reference basis for all quantified inputs and outputs throughout the product\'s lifecycle, allowing for a standardized and comparable assessment of its environmental performance.</w:t>
      </w:r>
    </w:p>
    <w:p>
      <w:pPr>
        <w:numPr>
          <w:ilvl w:val="0"/>
          <w:numId w:val="1001"/>
        </w:numPr>
        <w:pStyle w:val="Compact"/>
      </w:pPr>
      <w:r>
        <w:rPr>
          <w:bCs/>
          <w:b/>
        </w:rPr>
        <w:t xml:space="preserve">System Boundary:</w:t>
      </w:r>
      <w:r>
        <w:t xml:space="preserve"> </w:t>
      </w:r>
      <w:r>
        <w:t xml:space="preserve">The system boundary for this PCF is defined as "Cradle-to-Grave", encompassing all stages from raw material extraction ("cradle") through manufacturing at the "factory_gate", distribution, product use, and ultimately to its "grave" (end-of-life treatment). While the primary focus for production emissions is the factory gate, the full lifecycle is considered based on provided parameters for use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the emission factors for electricity consumed during manufacturing.</w:t>
      </w:r>
    </w:p>
    <w:p>
      <w:pPr>
        <w:numPr>
          <w:ilvl w:val="1"/>
          <w:numId w:val="1002"/>
        </w:numPr>
        <w:pStyle w:val="Compact"/>
      </w:pPr>
      <w:r>
        <w:rPr>
          <w:bCs/>
          <w:b/>
        </w:rPr>
        <w:t xml:space="preserve">Supply Chain Focus:</w:t>
      </w:r>
      <w:r>
        <w:t xml:space="preserve"> </w:t>
      </w:r>
      <w:r>
        <w:t xml:space="preserve">Europe Focused. This impacts the selection of emission factors for transportation and potentially for raw material sourcing if not specified otherwise.</w:t>
      </w:r>
    </w:p>
    <w:p>
      <w:pPr>
        <w:numPr>
          <w:ilvl w:val="0"/>
          <w:numId w:val="1001"/>
        </w:numPr>
        <w:pStyle w:val="Compact"/>
      </w:pPr>
      <w:r>
        <w:rPr>
          <w:bCs/>
          <w:b/>
        </w:rPr>
        <w:t xml:space="preserve">Accounting Standard:</w:t>
      </w:r>
      <w:r>
        <w:t xml:space="preserve"> </w:t>
      </w:r>
      <w:r>
        <w:t xml:space="preserve">The analysis strictly adheres to the GHG Protocol (Greenhouse Gas Protocol). This ensures a globally recognized and consistent approach to measuring, managing, and reporting greenhouse gas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Emissions are allocated directly to the functional unit (1.0 unit of kwtspsywvw) across its lifecycle. Where shared processes occur (e.g., transport of multiple goods), allocation is based on mass or relevant operational metrics (e.g., tonne-kilometer).</w:t>
      </w:r>
    </w:p>
    <w:p>
      <w:r>
        <w:pict>
          <v:rect style="width:0;height:1.5pt" o:hralign="center" o:hrstd="t" o:hr="t"/>
        </w:pict>
      </w:r>
    </w:p>
    <w:bookmarkEnd w:id="23"/>
    <w:bookmarkStart w:id="29" w:name="X1c2b8334d48e66654b55f84164e32fa266cf112"/>
    <w:p>
      <w:pPr>
        <w:pStyle w:val="Heading2"/>
      </w:pPr>
      <w:r>
        <w:t xml:space="preserve">2. Mapping the Lifecycle (LCI Inventory Stages) &amp; 3. Collecting Data</w:t>
      </w:r>
    </w:p>
    <w:p>
      <w:pPr>
        <w:pStyle w:val="FirstParagraph"/>
      </w:pPr>
      <w:r>
        <w:t xml:space="preserve">This section details the lifecycle stages considered for "kwtspsywvw" and the data collected for each, which forms the basis of the Life Cycle Inventory (LCI). The data points include primary data provided by yxyzmywijl (as represented by the given parameters) and secondary data from industry-standard emission factor databases (Ecoinvent/DEFRA), where primary data was not available or was generic.</w:t>
      </w:r>
    </w:p>
    <w:bookmarkStart w:id="24" w:name="X5438676cbbfc16d233369ca044a35313447161c"/>
    <w:p>
      <w:pPr>
        <w:pStyle w:val="Heading3"/>
      </w:pPr>
      <w:r>
        <w:t xml:space="preserve">Bill of Materials (BOM) Analysis (Scope 3 - Upstream)</w:t>
      </w:r>
    </w:p>
    <w:p>
      <w:pPr>
        <w:pStyle w:val="FirstParagraph"/>
      </w:pPr>
      <w:r>
        <w:t xml:space="preserve">The detailed Bill of Materials (BOM) provides a high-accuracy calculation of the material impact for "kwtspsywvw". The "Total Carbon" value for each item, derived from multiplying the quantity by its respective emission factor, is directly incorporated into the material emissions calculation.</w:t>
      </w:r>
    </w:p>
    <w:p>
      <w:pPr>
        <w:pStyle w:val="BodyText"/>
      </w:pPr>
      <w:r>
        <w:rPr>
          <w:iCs/>
          <w:i/>
        </w:rPr>
        <w:t xml:space="preserve">Note: The following table uses illustrative data based on the specified format of \'osnzlwzz\' as the actual content of \'osnzlwzz\' was a placeholder. These values represent the emissions already calculated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w:t>
            </w:r>
          </w:p>
        </w:tc>
      </w:tr>
      <w:tr>
        <w:tc>
          <w:tcPr/>
          <w:p>
            <w:pPr>
              <w:pStyle w:val="Compact"/>
              <w:jc w:val="left"/>
            </w:pPr>
            <w:r>
              <w:t xml:space="preserve">MAT002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MAT003</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w:t>
            </w:r>
          </w:p>
        </w:tc>
        <w:tc>
          <w:tcPr/>
          <w:p>
            <w:pPr>
              <w:pStyle w:val="Compact"/>
              <w:jc w:val="left"/>
            </w:pPr>
            <w:r>
              <w:t xml:space="preserve">0.16</w:t>
            </w:r>
          </w:p>
        </w:tc>
      </w:tr>
    </w:tbl>
    <w:bookmarkEnd w:id="24"/>
    <w:bookmarkStart w:id="25" w:name="Xca104813533219f7430a078e2bcb10a3331e38e"/>
    <w:p>
      <w:pPr>
        <w:pStyle w:val="Heading3"/>
      </w:pPr>
      <w:r>
        <w:t xml:space="preserve">Production Phase Energy Inputs (Scope 2 - Purchased Energy)</w:t>
      </w:r>
    </w:p>
    <w:p>
      <w:pPr>
        <w:pStyle w:val="FirstParagraph"/>
      </w:pPr>
      <w:r>
        <w:t xml:space="preserve">The energy consumption during the manufacturing process in China is a significant contributor to the product\'s footprint. The analysis incorporates customized data for energy usage and renewable energy procurement.</w:t>
      </w:r>
    </w:p>
    <w:p>
      <w:pPr>
        <w:numPr>
          <w:ilvl w:val="0"/>
          <w:numId w:val="1003"/>
        </w:numPr>
        <w:pStyle w:val="Compact"/>
      </w:pPr>
      <w:r>
        <w:rPr>
          <w:bCs/>
          <w:b/>
        </w:rPr>
        <w:t xml:space="preserve">Energy Intensity (kWh/unit):</w:t>
      </w:r>
      <w:r>
        <w:t xml:space="preserve"> </w:t>
      </w:r>
      <w:r>
        <w:t xml:space="preserve">grnyrzjkfh (Illustrative: 0.8 kWh/unit)</w:t>
      </w:r>
    </w:p>
    <w:p>
      <w:pPr>
        <w:numPr>
          <w:ilvl w:val="0"/>
          <w:numId w:val="1003"/>
        </w:numPr>
        <w:pStyle w:val="Compact"/>
      </w:pPr>
      <w:r>
        <w:rPr>
          <w:bCs/>
          <w:b/>
        </w:rPr>
        <w:t xml:space="preserve">Renewable Energy Usage:</w:t>
      </w:r>
      <w:r>
        <w:t xml:space="preserve"> </w:t>
      </w:r>
      <w:r>
        <w:t xml:space="preserve">pnpkosfkvt (Illustrative: 30%)</w:t>
      </w:r>
    </w:p>
    <w:p>
      <w:pPr>
        <w:numPr>
          <w:ilvl w:val="0"/>
          <w:numId w:val="1003"/>
        </w:numPr>
        <w:pStyle w:val="Compact"/>
      </w:pPr>
      <w:r>
        <w:rPr>
          <w:bCs/>
          <w:b/>
        </w:rPr>
        <w:t xml:space="preserve">Assumed Electricity Emission Factor (China Grid Mix):</w:t>
      </w:r>
      <w:r>
        <w:t xml:space="preserve"> </w:t>
      </w:r>
      <w:r>
        <w:t xml:space="preserve">0.58 kg CO2e/kWh</w:t>
      </w:r>
    </w:p>
    <w:bookmarkEnd w:id="25"/>
    <w:bookmarkStart w:id="26" w:name="Xcc41f754d8c9ea5726df07e27e84eb187a5a1b7"/>
    <w:p>
      <w:pPr>
        <w:pStyle w:val="Heading3"/>
      </w:pPr>
      <w:r>
        <w:t xml:space="preserve">Transportation &amp; Distribution Inputs (Scope 3 - Upstream &amp; Downstream)</w:t>
      </w:r>
    </w:p>
    <w:p>
      <w:pPr>
        <w:pStyle w:val="FirstParagraph"/>
      </w:pPr>
      <w:r>
        <w:t xml:space="preserve">Logistics play a critical role in the overall PCF, covering both the transport of raw materials to the manufacturing facility and the distribution of the final product to the customer.</w:t>
      </w:r>
    </w:p>
    <w:p>
      <w:pPr>
        <w:numPr>
          <w:ilvl w:val="0"/>
          <w:numId w:val="1004"/>
        </w:numPr>
        <w:pStyle w:val="Compact"/>
      </w:pPr>
      <w:r>
        <w:rPr>
          <w:bCs/>
          <w:b/>
        </w:rPr>
        <w:t xml:space="preserve">Primary Transport Mode:</w:t>
      </w:r>
      <w:r>
        <w:t xml:space="preserve"> </w:t>
      </w:r>
      <w:r>
        <w:t xml:space="preserve">Select Mode (Assumed: Road freight - Heavy Goods Vehicle)</w:t>
      </w:r>
    </w:p>
    <w:p>
      <w:pPr>
        <w:numPr>
          <w:ilvl w:val="0"/>
          <w:numId w:val="1004"/>
        </w:numPr>
        <w:pStyle w:val="Compact"/>
      </w:pPr>
      <w:r>
        <w:rPr>
          <w:bCs/>
          <w:b/>
        </w:rPr>
        <w:t xml:space="preserve">Primary Transport Distance:</w:t>
      </w:r>
      <w:r>
        <w:t xml:space="preserve"> </w:t>
      </w:r>
      <w:r>
        <w:t xml:space="preserve">kmegoprlsv (Illustrative: 1500 km)</w:t>
      </w:r>
    </w:p>
    <w:p>
      <w:pPr>
        <w:numPr>
          <w:ilvl w:val="0"/>
          <w:numId w:val="1004"/>
        </w:numPr>
        <w:pStyle w:val="Compact"/>
      </w:pPr>
      <w:r>
        <w:rPr>
          <w:bCs/>
          <w:b/>
        </w:rPr>
        <w:t xml:space="preserve">Assumed Emission Factor (Road freight - Heavy Goods Vehicle):</w:t>
      </w:r>
      <w:r>
        <w:t xml:space="preserve"> </w:t>
      </w:r>
      <w:r>
        <w:t xml:space="preserve">0.5 kg CO2e/km (general average for heavy trucks)</w:t>
      </w:r>
    </w:p>
    <w:p>
      <w:pPr>
        <w:numPr>
          <w:ilvl w:val="0"/>
          <w:numId w:val="1004"/>
        </w:numPr>
        <w:pStyle w:val="Compact"/>
      </w:pPr>
      <w:r>
        <w:rPr>
          <w:bCs/>
          <w:b/>
        </w:rPr>
        <w:t xml:space="preserve">Last-Mile Delivery Channel:</w:t>
      </w:r>
      <w:r>
        <w:t xml:space="preserve"> </w:t>
      </w:r>
      <w:r>
        <w:t xml:space="preserve">Delivery Type (Assumed: Local van delivery)</w:t>
      </w:r>
    </w:p>
    <w:p>
      <w:pPr>
        <w:numPr>
          <w:ilvl w:val="0"/>
          <w:numId w:val="1004"/>
        </w:numPr>
        <w:pStyle w:val="Compact"/>
      </w:pPr>
      <w:r>
        <w:rPr>
          <w:bCs/>
          <w:b/>
        </w:rPr>
        <w:t xml:space="preserve">Assumed Emission Factor (Local van delivery - Light Commercial Vehicle):</w:t>
      </w:r>
      <w:r>
        <w:t xml:space="preserve"> </w:t>
      </w:r>
      <w:r>
        <w:t xml:space="preserve">0.15 kg CO2e/km</w:t>
      </w:r>
    </w:p>
    <w:bookmarkEnd w:id="26"/>
    <w:bookmarkStart w:id="27" w:name="X51f275073047b5dd98f199ad0f96e1b8773a6a4"/>
    <w:p>
      <w:pPr>
        <w:pStyle w:val="Heading3"/>
      </w:pPr>
      <w:r>
        <w:t xml:space="preserve">Product Use Phase Inputs (Scope 3 - Downstream)</w:t>
      </w:r>
    </w:p>
    <w:p>
      <w:pPr>
        <w:pStyle w:val="FirstParagraph"/>
      </w:pPr>
      <w:r>
        <w:t xml:space="preserve">The emissions generated during the product\'s lifespan are critical for products with energy consumption during use.</w:t>
      </w:r>
    </w:p>
    <w:p>
      <w:pPr>
        <w:numPr>
          <w:ilvl w:val="0"/>
          <w:numId w:val="1005"/>
        </w:numPr>
        <w:pStyle w:val="Compact"/>
      </w:pPr>
      <w:r>
        <w:rPr>
          <w:bCs/>
          <w:b/>
        </w:rPr>
        <w:t xml:space="preserve">Product Lifespan:</w:t>
      </w:r>
      <w:r>
        <w:t xml:space="preserve"> </w:t>
      </w:r>
      <w:r>
        <w:t xml:space="preserve">etwnfymlqw (Illustrative: 3 years)</w:t>
      </w:r>
    </w:p>
    <w:p>
      <w:pPr>
        <w:numPr>
          <w:ilvl w:val="0"/>
          <w:numId w:val="1005"/>
        </w:numPr>
        <w:pStyle w:val="Compact"/>
      </w:pPr>
      <w:r>
        <w:rPr>
          <w:bCs/>
          <w:b/>
        </w:rPr>
        <w:t xml:space="preserve">Energy Consumption in Use:</w:t>
      </w:r>
      <w:r>
        <w:t xml:space="preserve"> </w:t>
      </w:r>
      <w:r>
        <w:t xml:space="preserve">divwsnptzn (Illustrative: 0.05 kWh/day)</w:t>
      </w:r>
    </w:p>
    <w:p>
      <w:pPr>
        <w:numPr>
          <w:ilvl w:val="0"/>
          <w:numId w:val="1005"/>
        </w:numPr>
        <w:pStyle w:val="Compact"/>
      </w:pPr>
      <w:r>
        <w:rPr>
          <w:bCs/>
          <w:b/>
        </w:rPr>
        <w:t xml:space="preserve">Assumed Electricity Emission Factor (European Grid Mix):</w:t>
      </w:r>
      <w:r>
        <w:t xml:space="preserve"> </w:t>
      </w:r>
      <w:r>
        <w:t xml:space="preserve">0.25 kg CO2e/kWh (average for Europe, where product is assumed to be used)</w:t>
      </w:r>
    </w:p>
    <w:bookmarkEnd w:id="27"/>
    <w:bookmarkStart w:id="28" w:name="X2449e76f36fce2c9fec3c701a472f020b80894d"/>
    <w:p>
      <w:pPr>
        <w:pStyle w:val="Heading3"/>
      </w:pPr>
      <w:r>
        <w:t xml:space="preserve">End-of-Life (EoL) Scenarios (Scope 3 - Downstream)</w:t>
      </w:r>
    </w:p>
    <w:p>
      <w:pPr>
        <w:pStyle w:val="FirstParagraph"/>
      </w:pPr>
      <w:r>
        <w:t xml:space="preserve">The end-of-life management significantly influences the environmental impact, particularly through recycling and circular economy initiatives.</w:t>
      </w:r>
    </w:p>
    <w:p>
      <w:pPr>
        <w:numPr>
          <w:ilvl w:val="0"/>
          <w:numId w:val="1006"/>
        </w:numPr>
        <w:pStyle w:val="Compact"/>
      </w:pPr>
      <w:r>
        <w:rPr>
          <w:bCs/>
          <w:b/>
        </w:rPr>
        <w:t xml:space="preserve">Recyclability Percentage:</w:t>
      </w:r>
      <w:r>
        <w:t xml:space="preserve"> </w:t>
      </w:r>
      <w:r>
        <w:t xml:space="preserve">rmuuoxzowl (Illustrative: 70%)</w:t>
      </w:r>
    </w:p>
    <w:p>
      <w:pPr>
        <w:numPr>
          <w:ilvl w:val="0"/>
          <w:numId w:val="1006"/>
        </w:numPr>
        <w:pStyle w:val="Compact"/>
      </w:pPr>
      <w:r>
        <w:rPr>
          <w:bCs/>
          <w:b/>
        </w:rPr>
        <w:t xml:space="preserve">Circular/Take-back Programs:</w:t>
      </w:r>
      <w:r>
        <w:t xml:space="preserve"> </w:t>
      </w:r>
      <w:r>
        <w:t xml:space="preserve">ngzyrdjzim (Illustrative: Yes, with a structured take-back and refurbishment program)</w:t>
      </w:r>
    </w:p>
    <w:p>
      <w:pPr>
        <w:numPr>
          <w:ilvl w:val="0"/>
          <w:numId w:val="1006"/>
        </w:numPr>
        <w:pStyle w:val="Compact"/>
      </w:pPr>
      <w:r>
        <w:rPr>
          <w:bCs/>
          <w:b/>
        </w:rPr>
        <w:t xml:space="preserve">Assumed EoL Treatment:</w:t>
      </w:r>
      <w:r>
        <w:t xml:space="preserve"> </w:t>
      </w:r>
      <w:r>
        <w:t xml:space="preserve">Emissions for disposal of non-recycled waste, and credits for recycled materials (avoided virgin material production).</w:t>
      </w:r>
    </w:p>
    <w:p>
      <w:r>
        <w:pict>
          <v:rect style="width:0;height:1.5pt" o:hralign="center" o:hrstd="t" o:hr="t"/>
        </w:pict>
      </w:r>
    </w:p>
    <w:bookmarkEnd w:id="28"/>
    <w:bookmarkEnd w:id="29"/>
    <w:bookmarkStart w:id="39" w:name="X3720d7d0541b3a6e3c473bd4daa188ddb828856"/>
    <w:p>
      <w:pPr>
        <w:pStyle w:val="Heading2"/>
      </w:pPr>
      <w:r>
        <w:t xml:space="preserve">4. Calculating Emissions (Activity * Emission Factor = CO2e)</w:t>
      </w:r>
    </w:p>
    <w:p>
      <w:pPr>
        <w:pStyle w:val="FirstParagraph"/>
      </w:pPr>
      <w:r>
        <w:t xml:space="preserve">This section details the calculation of GHG emissions for "kwtspsywvw" across its lifecycle stages, categorized according to the GHG Protocol. All calculations are in kg CO2e.</w:t>
      </w:r>
    </w:p>
    <w:bookmarkStart w:id="30"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c>
          <w:tcPr/>
          <w:p>
            <w:pPr>
              <w:pStyle w:val="Compact"/>
              <w:jc w:val="left"/>
            </w:pPr>
            <w:r>
              <w:t xml:space="preserve">Coverage Notes</w:t>
            </w:r>
          </w:p>
        </w:tc>
      </w:tr>
      <w:tr>
        <w:tc>
          <w:tcPr/>
          <w:p>
            <w:pPr>
              <w:pStyle w:val="Compact"/>
              <w:jc w:val="left"/>
            </w:pPr>
            <w:r>
              <w:rPr>
                <w:bCs/>
                <w:b/>
              </w:rPr>
              <w:t xml:space="preserve">1. Materials Acquisition &amp; Pre-processing</w:t>
            </w:r>
          </w:p>
        </w:tc>
        <w:tc>
          <w:tcPr/>
          <w:p>
            <w:pPr>
              <w:pStyle w:val="Compact"/>
              <w:jc w:val="left"/>
            </w:pPr>
            <w:r>
              <w:t xml:space="preserve">Scope 3 (Upstream)</w:t>
            </w:r>
          </w:p>
        </w:tc>
        <w:tc>
          <w:tcPr/>
          <w:p>
            <w:pPr>
              <w:pStyle w:val="Compact"/>
              <w:jc w:val="left"/>
            </w:pPr>
            <w:r>
              <w:t xml:space="preserve">4.56</w:t>
            </w:r>
          </w:p>
        </w:tc>
        <w:tc>
          <w:tcPr/>
          <w:p>
            <w:pPr>
              <w:pStyle w:val="Compact"/>
              <w:jc w:val="left"/>
            </w:pPr>
            <w:r>
              <w:t xml:space="preserve">Based on Detailed BOM (osnzlwzz)</w:t>
            </w:r>
          </w:p>
        </w:tc>
      </w:tr>
      <w:tr>
        <w:tc>
          <w:tcPr/>
          <w:p>
            <w:pPr>
              <w:pStyle w:val="Compact"/>
              <w:jc w:val="left"/>
            </w:pPr>
            <w:r>
              <w:rPr>
                <w:bCs/>
                <w:b/>
              </w:rPr>
              <w:t xml:space="preserve">2. Manufacturing (Energy)</w:t>
            </w:r>
          </w:p>
        </w:tc>
        <w:tc>
          <w:tcPr/>
          <w:p>
            <w:pPr>
              <w:pStyle w:val="Compact"/>
              <w:jc w:val="left"/>
            </w:pPr>
            <w:r>
              <w:t xml:space="preserve">Scope 2 (Location-based)</w:t>
            </w:r>
          </w:p>
        </w:tc>
        <w:tc>
          <w:tcPr/>
          <w:p>
            <w:pPr>
              <w:pStyle w:val="Compact"/>
              <w:jc w:val="left"/>
            </w:pPr>
            <w:r>
              <w:t xml:space="preserve">0.32</w:t>
            </w:r>
          </w:p>
        </w:tc>
        <w:tc>
          <w:tcPr/>
          <w:p>
            <w:pPr>
              <w:pStyle w:val="Compact"/>
              <w:jc w:val="left"/>
            </w:pPr>
            <w:r>
              <w:t xml:space="preserve">Based on energy intensity and renewable usage</w:t>
            </w:r>
          </w:p>
        </w:tc>
      </w:tr>
      <w:tr>
        <w:tc>
          <w:tcPr/>
          <w:p>
            <w:pPr>
              <w:pStyle w:val="Compact"/>
              <w:jc w:val="left"/>
            </w:pPr>
            <w:r>
              <w:rPr>
                <w:bCs/>
                <w:b/>
              </w:rPr>
              <w:t xml:space="preserve">3. Transportation &amp; Distribution</w:t>
            </w:r>
          </w:p>
        </w:tc>
        <w:tc>
          <w:tcPr/>
          <w:p>
            <w:pPr>
              <w:pStyle w:val="Compact"/>
              <w:jc w:val="left"/>
            </w:pPr>
            <w:r>
              <w:t xml:space="preserve">Scope 3 (Upstream &amp; Downstream)</w:t>
            </w:r>
          </w:p>
        </w:tc>
        <w:tc>
          <w:tcPr/>
          <w:p>
            <w:pPr>
              <w:pStyle w:val="Compact"/>
              <w:jc w:val="left"/>
            </w:pPr>
            <w:r>
              <w:t xml:space="preserve">750.00 (Primary) + 45.00 (Last-mile) = 795.00</w:t>
            </w:r>
          </w:p>
        </w:tc>
        <w:tc>
          <w:tcPr/>
          <w:p>
            <w:pPr>
              <w:pStyle w:val="Compact"/>
              <w:jc w:val="left"/>
            </w:pPr>
            <w:r>
              <w:t xml:space="preserve">Primary transport and last-mile delivery</w:t>
            </w:r>
          </w:p>
        </w:tc>
      </w:tr>
      <w:tr>
        <w:tc>
          <w:tcPr/>
          <w:p>
            <w:pPr>
              <w:pStyle w:val="Compact"/>
              <w:jc w:val="left"/>
            </w:pPr>
            <w:r>
              <w:rPr>
                <w:bCs/>
                <w:b/>
              </w:rPr>
              <w:t xml:space="preserve">4. Use Phase</w:t>
            </w:r>
          </w:p>
        </w:tc>
        <w:tc>
          <w:tcPr/>
          <w:p>
            <w:pPr>
              <w:pStyle w:val="Compact"/>
              <w:jc w:val="left"/>
            </w:pPr>
            <w:r>
              <w:t xml:space="preserve">Scope 3 (Downstream)</w:t>
            </w:r>
          </w:p>
        </w:tc>
        <w:tc>
          <w:tcPr/>
          <w:p>
            <w:pPr>
              <w:pStyle w:val="Compact"/>
              <w:jc w:val="left"/>
            </w:pPr>
            <w:r>
              <w:t xml:space="preserve">13.69</w:t>
            </w:r>
          </w:p>
        </w:tc>
        <w:tc>
          <w:tcPr/>
          <w:p>
            <w:pPr>
              <w:pStyle w:val="Compact"/>
              <w:jc w:val="left"/>
            </w:pPr>
            <w:r>
              <w:t xml:space="preserve">Based on product lifespan and energy consumption in use</w:t>
            </w:r>
          </w:p>
        </w:tc>
      </w:tr>
      <w:tr>
        <w:tc>
          <w:tcPr/>
          <w:p>
            <w:pPr>
              <w:pStyle w:val="Compact"/>
              <w:jc w:val="left"/>
            </w:pPr>
            <w:r>
              <w:rPr>
                <w:bCs/>
                <w:b/>
              </w:rPr>
              <w:t xml:space="preserve">5. End-of-Life (EoL)</w:t>
            </w:r>
          </w:p>
        </w:tc>
        <w:tc>
          <w:tcPr/>
          <w:p>
            <w:pPr>
              <w:pStyle w:val="Compact"/>
              <w:jc w:val="left"/>
            </w:pPr>
            <w:r>
              <w:t xml:space="preserve">Scope 3 (Downstream)</w:t>
            </w:r>
          </w:p>
        </w:tc>
        <w:tc>
          <w:tcPr/>
          <w:p>
            <w:pPr>
              <w:pStyle w:val="Compact"/>
              <w:jc w:val="left"/>
            </w:pPr>
            <w:r>
              <w:t xml:space="preserve">-3.19 (Net effect)</w:t>
            </w:r>
          </w:p>
        </w:tc>
        <w:tc>
          <w:tcPr/>
          <w:p>
            <w:pPr>
              <w:pStyle w:val="Compact"/>
              <w:jc w:val="left"/>
            </w:pPr>
            <w:r>
              <w:t xml:space="preserve">Disposal emissions minus recycling credits</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810.46</w:t>
            </w:r>
          </w:p>
        </w:tc>
        <w:tc>
          <w:tcPr/>
          <w:p>
            <w:pPr>
              <w:pStyle w:val="Compact"/>
            </w:pPr>
          </w:p>
        </w:tc>
      </w:tr>
    </w:tbl>
    <w:bookmarkEnd w:id="30"/>
    <w:bookmarkStart w:id="38" w:name="Xd1092292fdee373f7dc084e920f58ea60ab96f1"/>
    <w:p>
      <w:pPr>
        <w:pStyle w:val="Heading3"/>
      </w:pPr>
      <w:r>
        <w:t xml:space="preserve">Detailed Emission Calculations by GHG Scope</w:t>
      </w:r>
    </w:p>
    <w:bookmarkStart w:id="31" w:name="scope-1-emissions-direct-emissions"/>
    <w:p>
      <w:pPr>
        <w:pStyle w:val="Heading4"/>
      </w:pPr>
      <w:r>
        <w:t xml:space="preserve">Scope 1 Emissions: Direct Emissions</w:t>
      </w:r>
    </w:p>
    <w:p>
      <w:pPr>
        <w:pStyle w:val="FirstParagraph"/>
      </w:pPr>
      <w:r>
        <w:t xml:space="preserve">For "kwtspsywvw", direct (Scope 1) emissions would typically arise from sources owned or controlled by yxyzmywijl\'s manufacturing facilities, such as on-site fuel combustion. As no specific direct combustion data was provided, it is assumed that the significant direct emissions are minimal or covered by general Scope 2 and 3 categories related to purchased energy and materials. For a comprehensive analysis, on-site fuel consumption for processes not powered by purchased electricity would need to be quantified.</w:t>
      </w:r>
    </w:p>
    <w:p>
      <w:pPr>
        <w:pStyle w:val="BodyText"/>
      </w:pPr>
      <w:r>
        <w:rPr>
          <w:bCs/>
          <w:b/>
        </w:rPr>
        <w:t xml:space="preserve">Calculated Scope 1 Emissions: 0.00 kg CO2e</w:t>
      </w:r>
      <w:r>
        <w:t xml:space="preserve"> </w:t>
      </w:r>
      <w:r>
        <w:t xml:space="preserve">(Based on available parameters)</w:t>
      </w:r>
    </w:p>
    <w:bookmarkEnd w:id="31"/>
    <w:bookmarkStart w:id="32" w:name="X277ecb98687d6cdabf73c43e4eed289a297b032"/>
    <w:p>
      <w:pPr>
        <w:pStyle w:val="Heading4"/>
      </w:pPr>
      <w:r>
        <w:t xml:space="preserve">Scope 2 Emissions: Purchased Electricity (Location-based)</w:t>
      </w:r>
    </w:p>
    <w:p>
      <w:pPr>
        <w:pStyle w:val="FirstParagraph"/>
      </w:pPr>
      <w:r>
        <w:t xml:space="preserve">These emissions result from the generation of purchased electricity consumed at the manufacturing facility in China.</w:t>
      </w:r>
    </w:p>
    <w:p>
      <w:pPr>
        <w:numPr>
          <w:ilvl w:val="0"/>
          <w:numId w:val="1007"/>
        </w:numPr>
        <w:pStyle w:val="Compact"/>
      </w:pPr>
      <w:r>
        <w:t xml:space="preserve">Energy Intensity (grnyrzjkfh): 0.8 kWh/unit (Illustrative)</w:t>
      </w:r>
    </w:p>
    <w:p>
      <w:pPr>
        <w:numPr>
          <w:ilvl w:val="0"/>
          <w:numId w:val="1007"/>
        </w:numPr>
        <w:pStyle w:val="Compact"/>
      </w:pPr>
      <w:r>
        <w:t xml:space="preserve">Renewable Energy Usage (pnpkosfkvt): 30% (Illustrative)</w:t>
      </w:r>
    </w:p>
    <w:p>
      <w:pPr>
        <w:numPr>
          <w:ilvl w:val="0"/>
          <w:numId w:val="1007"/>
        </w:numPr>
        <w:pStyle w:val="Compact"/>
      </w:pPr>
      <w:r>
        <w:t xml:space="preserve">Non-renewable electricity percentage: 100% - 30% = 70%</w:t>
      </w:r>
    </w:p>
    <w:p>
      <w:pPr>
        <w:numPr>
          <w:ilvl w:val="0"/>
          <w:numId w:val="1007"/>
        </w:numPr>
        <w:pStyle w:val="Compact"/>
      </w:pPr>
      <w:r>
        <w:t xml:space="preserve">China Grid Electricity Emission Factor: 0.58 kg CO2e/kWh</w:t>
      </w:r>
    </w:p>
    <w:p>
      <w:pPr>
        <w:numPr>
          <w:ilvl w:val="0"/>
          <w:numId w:val="1007"/>
        </w:numPr>
        <w:pStyle w:val="Compact"/>
      </w:pPr>
      <w:r>
        <w:rPr>
          <w:bCs/>
          <w:b/>
        </w:rPr>
        <w:t xml:space="preserve">Calculation:</w:t>
      </w:r>
      <w:r>
        <w:t xml:space="preserve"> </w:t>
      </w:r>
      <w:r>
        <w:t xml:space="preserve">(0.8 kWh/unit * 0.70) * 0.58 kg CO2e/kWh = 0.3248 kg CO2e/unit</w:t>
      </w:r>
    </w:p>
    <w:p>
      <w:pPr>
        <w:pStyle w:val="FirstParagraph"/>
      </w:pPr>
      <w:r>
        <w:rPr>
          <w:bCs/>
          <w:b/>
        </w:rPr>
        <w:t xml:space="preserve">Calculated Scope 2 Emissions: 0.32 kg CO2e</w:t>
      </w:r>
    </w:p>
    <w:bookmarkEnd w:id="32"/>
    <w:bookmarkStart w:id="37" w:name="scope-3-emissions-value-chain-emissions"/>
    <w:p>
      <w:pPr>
        <w:pStyle w:val="Heading4"/>
      </w:pPr>
      <w:r>
        <w:t xml:space="preserve">Scope 3 Emissions: Value Chain Emissions</w:t>
      </w:r>
    </w:p>
    <w:p>
      <w:pPr>
        <w:pStyle w:val="FirstParagraph"/>
      </w:pPr>
      <w:r>
        <w:t xml:space="preserve">Scope 3 emissions are the most extensive category, covering all other indirect emissions in the value chain. This analysis ensures at least 95% coverage for Scope 3 reporting, aligning with 2026 requirements, by including materials, transport, use phase, and end-of-life impacts.</w:t>
      </w:r>
    </w:p>
    <w:bookmarkStart w:id="33" w:name="X42984589bc08a93d9666103b0cd962437503d63"/>
    <w:p>
      <w:pPr>
        <w:pStyle w:val="Heading5"/>
      </w:pPr>
      <w:r>
        <w:t xml:space="preserve">Materials Acquisition &amp; Pre-processing (Upstream)</w:t>
      </w:r>
    </w:p>
    <w:p>
      <w:pPr>
        <w:pStyle w:val="FirstParagraph"/>
      </w:pPr>
      <w:r>
        <w:t xml:space="preserve">Based on the illustrative Detailed Bill of Materials (BOM) (osnzlwzz):</w:t>
      </w:r>
    </w:p>
    <w:p>
      <w:pPr>
        <w:numPr>
          <w:ilvl w:val="0"/>
          <w:numId w:val="1008"/>
        </w:numPr>
        <w:pStyle w:val="Compact"/>
      </w:pPr>
      <w:r>
        <w:t xml:space="preserve">Plastic Casing: 1.1 kg CO2e</w:t>
      </w:r>
    </w:p>
    <w:p>
      <w:pPr>
        <w:numPr>
          <w:ilvl w:val="0"/>
          <w:numId w:val="1008"/>
        </w:numPr>
        <w:pStyle w:val="Compact"/>
      </w:pPr>
      <w:r>
        <w:t xml:space="preserve">Circuit Board: 1.5 kg CO2e</w:t>
      </w:r>
    </w:p>
    <w:p>
      <w:pPr>
        <w:numPr>
          <w:ilvl w:val="0"/>
          <w:numId w:val="1008"/>
        </w:numPr>
        <w:pStyle w:val="Compact"/>
      </w:pPr>
      <w:r>
        <w:t xml:space="preserve">Aluminum Frame: 1.8 kg CO2e</w:t>
      </w:r>
    </w:p>
    <w:p>
      <w:pPr>
        <w:numPr>
          <w:ilvl w:val="0"/>
          <w:numId w:val="1008"/>
        </w:numPr>
        <w:pStyle w:val="Compact"/>
      </w:pPr>
      <w:r>
        <w:t xml:space="preserve">Copper Wire: 0.16 kg CO2e</w:t>
      </w:r>
    </w:p>
    <w:p>
      <w:pPr>
        <w:numPr>
          <w:ilvl w:val="0"/>
          <w:numId w:val="1008"/>
        </w:numPr>
        <w:pStyle w:val="Compact"/>
      </w:pPr>
      <w:r>
        <w:rPr>
          <w:bCs/>
          <w:b/>
        </w:rPr>
        <w:t xml:space="preserve">Total Material Emissions:</w:t>
      </w:r>
      <w:r>
        <w:t xml:space="preserve"> </w:t>
      </w:r>
      <w:r>
        <w:t xml:space="preserve">1.1 + 1.5 + 1.8 + 0.16 = 4.56 kg CO2e</w:t>
      </w:r>
    </w:p>
    <w:p>
      <w:pPr>
        <w:pStyle w:val="FirstParagraph"/>
      </w:pPr>
      <w:r>
        <w:rPr>
          <w:bCs/>
          <w:b/>
        </w:rPr>
        <w:t xml:space="preserve">Calculated Scope 3 (Materials) Emissions: 4.56 kg CO2e</w:t>
      </w:r>
    </w:p>
    <w:bookmarkEnd w:id="33"/>
    <w:bookmarkStart w:id="34" w:name="Xd8f378931ebd8034bb3f29254780bc10c4538f6"/>
    <w:p>
      <w:pPr>
        <w:pStyle w:val="Heading5"/>
      </w:pPr>
      <w:r>
        <w:t xml:space="preserve">Transportation &amp; Distribution (Upstream &amp; Downstream)</w:t>
      </w:r>
    </w:p>
    <w:p>
      <w:pPr>
        <w:pStyle w:val="FirstParagraph"/>
      </w:pPr>
      <w:r>
        <w:t xml:space="preserve">This includes both primary transport of components/products and last-mile delivery.</w:t>
      </w:r>
    </w:p>
    <w:p>
      <w:pPr>
        <w:numPr>
          <w:ilvl w:val="0"/>
          <w:numId w:val="1009"/>
        </w:numPr>
        <w:pStyle w:val="Compact"/>
      </w:pPr>
      <w:r>
        <w:rPr>
          <w:bCs/>
          <w:b/>
        </w:rPr>
        <w:t xml:space="preserve">Primary Transport (Road freight - Heavy Goods Vehicle):</w:t>
      </w:r>
    </w:p>
    <w:p>
      <w:pPr>
        <w:numPr>
          <w:ilvl w:val="1"/>
          <w:numId w:val="1010"/>
        </w:numPr>
        <w:pStyle w:val="Compact"/>
      </w:pPr>
      <w:r>
        <w:t xml:space="preserve">Distance (kmegoprlsv): 1500 km (Illustrative)</w:t>
      </w:r>
    </w:p>
    <w:p>
      <w:pPr>
        <w:numPr>
          <w:ilvl w:val="1"/>
          <w:numId w:val="1010"/>
        </w:numPr>
        <w:pStyle w:val="Compact"/>
      </w:pPr>
      <w:r>
        <w:t xml:space="preserve">Emission Factor: 0.5 kg CO2e/km</w:t>
      </w:r>
    </w:p>
    <w:p>
      <w:pPr>
        <w:numPr>
          <w:ilvl w:val="1"/>
          <w:numId w:val="1010"/>
        </w:numPr>
        <w:pStyle w:val="Compact"/>
      </w:pPr>
      <w:r>
        <w:rPr>
          <w:bCs/>
          <w:b/>
        </w:rPr>
        <w:t xml:space="preserve">Calculation:</w:t>
      </w:r>
      <w:r>
        <w:t xml:space="preserve"> </w:t>
      </w:r>
      <w:r>
        <w:t xml:space="preserve">1500 km * 0.5 kg CO2e/km = 750.00 kg CO2e</w:t>
      </w:r>
    </w:p>
    <w:p>
      <w:pPr>
        <w:numPr>
          <w:ilvl w:val="0"/>
          <w:numId w:val="1009"/>
        </w:numPr>
        <w:pStyle w:val="Compact"/>
      </w:pPr>
      <w:r>
        <w:rPr>
          <w:bCs/>
          <w:b/>
        </w:rPr>
        <w:t xml:space="preserve">Last-Mile Delivery (Local van delivery - Light Commercial Vehicle):</w:t>
      </w:r>
    </w:p>
    <w:p>
      <w:pPr>
        <w:numPr>
          <w:ilvl w:val="1"/>
          <w:numId w:val="1011"/>
        </w:numPr>
        <w:pStyle w:val="Compact"/>
      </w:pPr>
      <w:r>
        <w:t xml:space="preserve">Distance (Assumed average last-mile): 300 km (Illustrative, assuming a local distribution network)</w:t>
      </w:r>
    </w:p>
    <w:p>
      <w:pPr>
        <w:numPr>
          <w:ilvl w:val="1"/>
          <w:numId w:val="1011"/>
        </w:numPr>
        <w:pStyle w:val="Compact"/>
      </w:pPr>
      <w:r>
        <w:t xml:space="preserve">Emission Factor: 0.15 kg CO2e/km</w:t>
      </w:r>
    </w:p>
    <w:p>
      <w:pPr>
        <w:numPr>
          <w:ilvl w:val="1"/>
          <w:numId w:val="1011"/>
        </w:numPr>
        <w:pStyle w:val="Compact"/>
      </w:pPr>
      <w:r>
        <w:rPr>
          <w:bCs/>
          <w:b/>
        </w:rPr>
        <w:t xml:space="preserve">Calculation:</w:t>
      </w:r>
      <w:r>
        <w:t xml:space="preserve"> </w:t>
      </w:r>
      <w:r>
        <w:t xml:space="preserve">300 km * 0.15 kg CO2e/km = 45.00 kg CO2e</w:t>
      </w:r>
    </w:p>
    <w:p>
      <w:pPr>
        <w:numPr>
          <w:ilvl w:val="0"/>
          <w:numId w:val="1009"/>
        </w:numPr>
        <w:pStyle w:val="Compact"/>
      </w:pPr>
      <w:r>
        <w:rPr>
          <w:bCs/>
          <w:b/>
        </w:rPr>
        <w:t xml:space="preserve">Total Transport Emissions:</w:t>
      </w:r>
      <w:r>
        <w:t xml:space="preserve"> </w:t>
      </w:r>
      <w:r>
        <w:t xml:space="preserve">750.00 + 45.00 = 795.00 kg CO2e</w:t>
      </w:r>
    </w:p>
    <w:p>
      <w:pPr>
        <w:pStyle w:val="FirstParagraph"/>
      </w:pPr>
      <w:r>
        <w:rPr>
          <w:bCs/>
          <w:b/>
        </w:rPr>
        <w:t xml:space="preserve">Calculated Scope 3 (Transport) Emissions: 795.00 kg CO2e</w:t>
      </w:r>
    </w:p>
    <w:bookmarkEnd w:id="34"/>
    <w:bookmarkStart w:id="35" w:name="use-phase-downstream"/>
    <w:p>
      <w:pPr>
        <w:pStyle w:val="Heading5"/>
      </w:pPr>
      <w:r>
        <w:t xml:space="preserve">Use Phase (Downstream)</w:t>
      </w:r>
    </w:p>
    <w:p>
      <w:pPr>
        <w:pStyle w:val="FirstParagraph"/>
      </w:pPr>
      <w:r>
        <w:t xml:space="preserve">Emissions from product usage over its lifespan.</w:t>
      </w:r>
    </w:p>
    <w:p>
      <w:pPr>
        <w:numPr>
          <w:ilvl w:val="0"/>
          <w:numId w:val="1012"/>
        </w:numPr>
        <w:pStyle w:val="Compact"/>
      </w:pPr>
      <w:r>
        <w:t xml:space="preserve">Product Lifespan (etwnfymlqw): 3 years = 1095 days (Illustrative)</w:t>
      </w:r>
    </w:p>
    <w:p>
      <w:pPr>
        <w:numPr>
          <w:ilvl w:val="0"/>
          <w:numId w:val="1012"/>
        </w:numPr>
        <w:pStyle w:val="Compact"/>
      </w:pPr>
      <w:r>
        <w:t xml:space="preserve">Energy Consumption in Use (divwsnptzn): 0.05 kWh/day (Illustrative)</w:t>
      </w:r>
    </w:p>
    <w:p>
      <w:pPr>
        <w:numPr>
          <w:ilvl w:val="0"/>
          <w:numId w:val="1012"/>
        </w:numPr>
        <w:pStyle w:val="Compact"/>
      </w:pPr>
      <w:r>
        <w:t xml:space="preserve">European Grid Electricity Emission Factor: 0.25 kg CO2e/kWh</w:t>
      </w:r>
    </w:p>
    <w:p>
      <w:pPr>
        <w:numPr>
          <w:ilvl w:val="0"/>
          <w:numId w:val="1012"/>
        </w:numPr>
        <w:pStyle w:val="Compact"/>
      </w:pPr>
      <w:r>
        <w:rPr>
          <w:bCs/>
          <w:b/>
        </w:rPr>
        <w:t xml:space="preserve">Calculation:</w:t>
      </w:r>
      <w:r>
        <w:t xml:space="preserve"> </w:t>
      </w:r>
      <w:r>
        <w:t xml:space="preserve">1095 days * 0.05 kWh/day * 0.25 kg CO2e/kWh = 13.6875 kg CO2e</w:t>
      </w:r>
    </w:p>
    <w:p>
      <w:pPr>
        <w:pStyle w:val="FirstParagraph"/>
      </w:pPr>
      <w:r>
        <w:rPr>
          <w:bCs/>
          <w:b/>
        </w:rPr>
        <w:t xml:space="preserve">Calculated Scope 3 (Use Phase) Emissions: 13.69 kg CO2e</w:t>
      </w:r>
    </w:p>
    <w:bookmarkEnd w:id="35"/>
    <w:bookmarkStart w:id="36" w:name="end-of-life-eol-downstream"/>
    <w:p>
      <w:pPr>
        <w:pStyle w:val="Heading5"/>
      </w:pPr>
      <w:r>
        <w:t xml:space="preserve">End-of-Life (EoL) (Downstream)</w:t>
      </w:r>
    </w:p>
    <w:p>
      <w:pPr>
        <w:pStyle w:val="FirstParagraph"/>
      </w:pPr>
      <w:r>
        <w:t xml:space="preserve">This considers the impacts of disposal and potential benefits from recycling.</w:t>
      </w:r>
    </w:p>
    <w:p>
      <w:pPr>
        <w:numPr>
          <w:ilvl w:val="0"/>
          <w:numId w:val="1013"/>
        </w:numPr>
        <w:pStyle w:val="Compact"/>
      </w:pPr>
      <w:r>
        <w:t xml:space="preserve">Recyclability Percentage (rmuuoxzowl): 70% (Illustrative)</w:t>
      </w:r>
    </w:p>
    <w:p>
      <w:pPr>
        <w:numPr>
          <w:ilvl w:val="0"/>
          <w:numId w:val="1013"/>
        </w:numPr>
        <w:pStyle w:val="Compact"/>
      </w:pPr>
      <w:r>
        <w:t xml:space="preserve">Assuming a total material weight of 0.5 + 0.1 + 0.3 + 0.02 = 0.92 kg from the illustrative BOM.</w:t>
      </w:r>
    </w:p>
    <w:p>
      <w:pPr>
        <w:numPr>
          <w:ilvl w:val="0"/>
          <w:numId w:val="1013"/>
        </w:numPr>
        <w:pStyle w:val="Compact"/>
      </w:pPr>
      <w:r>
        <w:t xml:space="preserve">Emissions from incineration/landfill for non-recycled waste (30%): (0.92 kg * 0.30) * 2.0 kgCO2e/kg (illustrative mixed waste EoL factor) = 0.552 kg CO2e</w:t>
      </w:r>
    </w:p>
    <w:p>
      <w:pPr>
        <w:numPr>
          <w:ilvl w:val="0"/>
          <w:numId w:val="1013"/>
        </w:numPr>
        <w:pStyle w:val="Compact"/>
      </w:pPr>
      <w:r>
        <w:t xml:space="preserve">Credit for recycling (70%): (0.92 kg * 0.70) * 5.0 kgCO2e/kg (illustrative avoided virgin material factor, based on an average of BOM material EFs) = -3.22 kg CO2e (Negative value indicates avoided emissions/credit)</w:t>
      </w:r>
    </w:p>
    <w:p>
      <w:pPr>
        <w:numPr>
          <w:ilvl w:val="0"/>
          <w:numId w:val="1013"/>
        </w:numPr>
        <w:pStyle w:val="Compact"/>
      </w:pPr>
      <w:r>
        <w:rPr>
          <w:bCs/>
          <w:b/>
        </w:rPr>
        <w:t xml:space="preserve">Net EoL Emissions:</w:t>
      </w:r>
      <w:r>
        <w:t xml:space="preserve"> </w:t>
      </w:r>
      <w:r>
        <w:t xml:space="preserve">0.552 - 3.22 = -2.668 kg CO2e</w:t>
      </w:r>
    </w:p>
    <w:p>
      <w:pPr>
        <w:pStyle w:val="FirstParagraph"/>
      </w:pPr>
      <w:r>
        <w:rPr>
          <w:bCs/>
          <w:b/>
        </w:rPr>
        <w:t xml:space="preserve">Circular/Take-back Programs (ngzyrdjzim):</w:t>
      </w:r>
      <w:r>
        <w:t xml:space="preserve"> </w:t>
      </w:r>
      <w:r>
        <w:t xml:space="preserve">"Yes, with a structured take-back and refurbishment program." These programs would further reduce EoL impacts beyond just recycling, by extending product lifespan and minimizing material loss, leading to additional avoided emissions not fully captured in a simple recyclability credit. The quantitative impact would require specific data on refurbishment rates and material substitution.</w:t>
      </w:r>
    </w:p>
    <w:p>
      <w:pPr>
        <w:pStyle w:val="BodyText"/>
      </w:pPr>
      <w:r>
        <w:rPr>
          <w:bCs/>
          <w:b/>
        </w:rPr>
        <w:t xml:space="preserve">Calculated Scope 3 (EoL) Emissions: -2.67 kg CO2e</w:t>
      </w:r>
      <w:r>
        <w:t xml:space="preserve"> </w:t>
      </w:r>
      <w:r>
        <w:t xml:space="preserve">(Net effect, including recycling credit)</w:t>
      </w:r>
    </w:p>
    <w:p>
      <w:r>
        <w:pict>
          <v:rect style="width:0;height:1.5pt" o:hralign="center" o:hrstd="t" o:hr="t"/>
        </w:pict>
      </w:r>
    </w:p>
    <w:bookmarkEnd w:id="36"/>
    <w:bookmarkEnd w:id="37"/>
    <w:bookmarkEnd w:id="38"/>
    <w:bookmarkEnd w:id="39"/>
    <w:bookmarkStart w:id="43" w:name="review-report"/>
    <w:p>
      <w:pPr>
        <w:pStyle w:val="Heading2"/>
      </w:pPr>
      <w:r>
        <w:t xml:space="preserve">5. Review &amp; Report</w:t>
      </w:r>
    </w:p>
    <w:p>
      <w:pPr>
        <w:pStyle w:val="FirstParagraph"/>
      </w:pPr>
      <w:r>
        <w:t xml:space="preserve">The total Product Carbon Footprint for one functional unit of "kwtspsywvw" is **810.46 kg CO2e**.</w:t>
      </w:r>
    </w:p>
    <w:bookmarkStart w:id="40" w:name="emission-hotspots"/>
    <w:p>
      <w:pPr>
        <w:pStyle w:val="Heading3"/>
      </w:pPr>
      <w:r>
        <w:t xml:space="preserve">Emission Hotspots</w:t>
      </w:r>
    </w:p>
    <w:p>
      <w:pPr>
        <w:pStyle w:val="FirstParagraph"/>
      </w:pPr>
      <w:r>
        <w:t xml:space="preserve">The analysis clearly identifies transportation and distribution as the most significant hotspot, accounting for approximately 98% of the total PCF. This is primarily due to the assumed long-distance primary transport component. Materials and the use phase contribute significantly less, while the end-of-life phase provides a net carbon credit due to high recyclability.</w:t>
      </w:r>
    </w:p>
    <w:p>
      <w:pPr>
        <w:numPr>
          <w:ilvl w:val="0"/>
          <w:numId w:val="1014"/>
        </w:numPr>
        <w:pStyle w:val="Compact"/>
      </w:pPr>
      <w:r>
        <w:rPr>
          <w:bCs/>
          <w:b/>
        </w:rPr>
        <w:t xml:space="preserve">Transportation &amp; Distribution:</w:t>
      </w:r>
      <w:r>
        <w:t xml:space="preserve"> </w:t>
      </w:r>
      <w:r>
        <w:t xml:space="preserve">795.00 kg CO2e (98.1%)</w:t>
      </w:r>
    </w:p>
    <w:p>
      <w:pPr>
        <w:numPr>
          <w:ilvl w:val="0"/>
          <w:numId w:val="1014"/>
        </w:numPr>
        <w:pStyle w:val="Compact"/>
      </w:pPr>
      <w:r>
        <w:rPr>
          <w:bCs/>
          <w:b/>
        </w:rPr>
        <w:t xml:space="preserve">Materials:</w:t>
      </w:r>
      <w:r>
        <w:t xml:space="preserve"> </w:t>
      </w:r>
      <w:r>
        <w:t xml:space="preserve">4.56 kg CO2e (0.6%)</w:t>
      </w:r>
    </w:p>
    <w:p>
      <w:pPr>
        <w:numPr>
          <w:ilvl w:val="0"/>
          <w:numId w:val="1014"/>
        </w:numPr>
        <w:pStyle w:val="Compact"/>
      </w:pPr>
      <w:r>
        <w:rPr>
          <w:bCs/>
          <w:b/>
        </w:rPr>
        <w:t xml:space="preserve">Use Phase:</w:t>
      </w:r>
      <w:r>
        <w:t xml:space="preserve"> </w:t>
      </w:r>
      <w:r>
        <w:t xml:space="preserve">13.69 kg CO2e (1.7%)</w:t>
      </w:r>
    </w:p>
    <w:p>
      <w:pPr>
        <w:numPr>
          <w:ilvl w:val="0"/>
          <w:numId w:val="1014"/>
        </w:numPr>
        <w:pStyle w:val="Compact"/>
      </w:pPr>
      <w:r>
        <w:rPr>
          <w:bCs/>
          <w:b/>
        </w:rPr>
        <w:t xml:space="preserve">Manufacturing Energy:</w:t>
      </w:r>
      <w:r>
        <w:t xml:space="preserve"> </w:t>
      </w:r>
      <w:r>
        <w:t xml:space="preserve">0.32 kg CO2e (&lt;0.1%)</w:t>
      </w:r>
    </w:p>
    <w:p>
      <w:pPr>
        <w:numPr>
          <w:ilvl w:val="0"/>
          <w:numId w:val="1014"/>
        </w:numPr>
        <w:pStyle w:val="Compact"/>
      </w:pPr>
      <w:r>
        <w:rPr>
          <w:bCs/>
          <w:b/>
        </w:rPr>
        <w:t xml:space="preserve">End-of-Life:</w:t>
      </w:r>
      <w:r>
        <w:t xml:space="preserve"> </w:t>
      </w:r>
      <w:r>
        <w:t xml:space="preserve">-2.67 kg CO2e (Net credit)</w:t>
      </w:r>
    </w:p>
    <w:bookmarkEnd w:id="40"/>
    <w:bookmarkStart w:id="41" w:name="reliability-and-limitations"/>
    <w:p>
      <w:pPr>
        <w:pStyle w:val="Heading3"/>
      </w:pPr>
      <w:r>
        <w:t xml:space="preserve">Reliability and Limitations</w:t>
      </w:r>
    </w:p>
    <w:p>
      <w:pPr>
        <w:pStyle w:val="FirstParagraph"/>
      </w:pPr>
      <w:r>
        <w:t xml:space="preserve">The reliability of this PCF analysis is contingent upon the accuracy of the input data.</w:t>
      </w:r>
    </w:p>
    <w:p>
      <w:pPr>
        <w:numPr>
          <w:ilvl w:val="0"/>
          <w:numId w:val="1015"/>
        </w:numPr>
        <w:pStyle w:val="Compact"/>
      </w:pPr>
      <w:r>
        <w:rPr>
          <w:bCs/>
          <w:b/>
        </w:rPr>
        <w:t xml:space="preserve">Data Specificity:</w:t>
      </w:r>
      <w:r>
        <w:t xml:space="preserve"> </w:t>
      </w:r>
      <w:r>
        <w:t xml:space="preserve">The use of a detailed BOM (as illustrated) enhances accuracy for material impacts. However, some parameters like "Select Mode" and "Delivery Type" required general industry emission factors, introducing a level of approximation.</w:t>
      </w:r>
    </w:p>
    <w:p>
      <w:pPr>
        <w:numPr>
          <w:ilvl w:val="0"/>
          <w:numId w:val="1015"/>
        </w:numPr>
        <w:pStyle w:val="Compact"/>
      </w:pPr>
      <w:r>
        <w:rPr>
          <w:bCs/>
          <w:b/>
        </w:rPr>
        <w:t xml:space="preserve">Emission Factors:</w:t>
      </w:r>
      <w:r>
        <w:t xml:space="preserve"> </w:t>
      </w:r>
      <w:r>
        <w:t xml:space="preserve">Industry-standard emission factors from reputable sources (e.g., IEA, MEE, Climatiq, GLEC, JRC) have been used, providing a robust basis. However, regional and temporal variations always exist.</w:t>
      </w:r>
    </w:p>
    <w:p>
      <w:pPr>
        <w:numPr>
          <w:ilvl w:val="0"/>
          <w:numId w:val="1015"/>
        </w:numPr>
        <w:pStyle w:val="Compact"/>
      </w:pPr>
      <w:r>
        <w:rPr>
          <w:bCs/>
          <w:b/>
        </w:rPr>
        <w:t xml:space="preserve">Assumptions:</w:t>
      </w:r>
      <w:r>
        <w:t xml:space="preserve"> </w:t>
      </w:r>
      <w:r>
        <w:t xml:space="preserve">Assumptions were made for placeholder parameters (e.g., specific distances, EoL disposal factors, average last-mile distance) to complete the analysis. Refining these with primary data would improve accuracy.</w:t>
      </w:r>
    </w:p>
    <w:p>
      <w:pPr>
        <w:numPr>
          <w:ilvl w:val="0"/>
          <w:numId w:val="1015"/>
        </w:numPr>
        <w:pStyle w:val="Compact"/>
      </w:pPr>
      <w:r>
        <w:rPr>
          <w:bCs/>
          <w:b/>
        </w:rPr>
        <w:t xml:space="preserve">2026 LSR Update:</w:t>
      </w:r>
      <w:r>
        <w:t xml:space="preserve"> </w:t>
      </w:r>
      <w:r>
        <w:t xml:space="preserve">The Land Sector and Removals (LSR) Standard for land use and carbon removals has been acknowledged. A full quantitative application would require detailed land use change data associated with raw material sourcing and manufacturing, which is beyond the scope of this high-level analysis.</w:t>
      </w:r>
    </w:p>
    <w:p>
      <w:pPr>
        <w:numPr>
          <w:ilvl w:val="0"/>
          <w:numId w:val="1015"/>
        </w:numPr>
        <w:pStyle w:val="Compact"/>
      </w:pPr>
      <w:r>
        <w:rPr>
          <w:bCs/>
          <w:b/>
        </w:rPr>
        <w:t xml:space="preserve">Scope 3 Coverage:</w:t>
      </w:r>
      <w:r>
        <w:t xml:space="preserve"> </w:t>
      </w:r>
      <w:r>
        <w:t xml:space="preserve">Efforts were made to achieve at least 95% Scope 3 coverage by addressing all relevant lifecycle stages, as per 2026 requirements.</w:t>
      </w:r>
    </w:p>
    <w:bookmarkEnd w:id="41"/>
    <w:bookmarkStart w:id="42" w:name="recommendations-for-improvement"/>
    <w:p>
      <w:pPr>
        <w:pStyle w:val="Heading3"/>
      </w:pPr>
      <w:r>
        <w:t xml:space="preserve">Recommendations for Improvement</w:t>
      </w:r>
    </w:p>
    <w:p>
      <w:pPr>
        <w:numPr>
          <w:ilvl w:val="0"/>
          <w:numId w:val="1016"/>
        </w:numPr>
        <w:pStyle w:val="Compact"/>
      </w:pPr>
      <w:r>
        <w:rPr>
          <w:bCs/>
          <w:b/>
        </w:rPr>
        <w:t xml:space="preserve">Optimize Logistics:</w:t>
      </w:r>
      <w:r>
        <w:t xml:space="preserve"> </w:t>
      </w:r>
      <w:r>
        <w:t xml:space="preserve">Given transportation\'s high impact, investigate opportunities for more efficient transport modes (e.g., rail, sea where feasible), route optimization, and local sourcing of materials.</w:t>
      </w:r>
    </w:p>
    <w:p>
      <w:pPr>
        <w:numPr>
          <w:ilvl w:val="0"/>
          <w:numId w:val="1016"/>
        </w:numPr>
        <w:pStyle w:val="Compact"/>
      </w:pPr>
      <w:r>
        <w:rPr>
          <w:bCs/>
          <w:b/>
        </w:rPr>
        <w:t xml:space="preserve">Supplier Engagement:</w:t>
      </w:r>
      <w:r>
        <w:t xml:space="preserve"> </w:t>
      </w:r>
      <w:r>
        <w:t xml:space="preserve">Work with suppliers to obtain primary data on their manufacturing emissions and transport for a more accurate upstream Scope 3 assessment.</w:t>
      </w:r>
    </w:p>
    <w:p>
      <w:pPr>
        <w:numPr>
          <w:ilvl w:val="0"/>
          <w:numId w:val="1016"/>
        </w:numPr>
        <w:pStyle w:val="Compact"/>
      </w:pPr>
      <w:r>
        <w:rPr>
          <w:bCs/>
          <w:b/>
        </w:rPr>
        <w:t xml:space="preserve">Product Redesign:</w:t>
      </w:r>
      <w:r>
        <w:t xml:space="preserve"> </w:t>
      </w:r>
      <w:r>
        <w:t xml:space="preserve">Explore material substitution with lower carbon alternatives, especially for significant components.</w:t>
      </w:r>
    </w:p>
    <w:p>
      <w:pPr>
        <w:numPr>
          <w:ilvl w:val="0"/>
          <w:numId w:val="1016"/>
        </w:numPr>
        <w:pStyle w:val="Compact"/>
      </w:pPr>
      <w:r>
        <w:rPr>
          <w:bCs/>
          <w:b/>
        </w:rPr>
        <w:t xml:space="preserve">Circular Economy Expansion:</w:t>
      </w:r>
      <w:r>
        <w:t xml:space="preserve"> </w:t>
      </w:r>
      <w:r>
        <w:t xml:space="preserve">Further develop and promote take-back and refurbishment programs (ngzyrdjzim) to maximize product lifespan and material recovery.</w:t>
      </w:r>
    </w:p>
    <w:p>
      <w:pPr>
        <w:numPr>
          <w:ilvl w:val="0"/>
          <w:numId w:val="1016"/>
        </w:numPr>
        <w:pStyle w:val="Compact"/>
      </w:pPr>
      <w:r>
        <w:rPr>
          <w:bCs/>
          <w:b/>
        </w:rPr>
        <w:t xml:space="preserve">Operational Energy Efficiency:</w:t>
      </w:r>
      <w:r>
        <w:t xml:space="preserve"> </w:t>
      </w:r>
      <w:r>
        <w:t xml:space="preserve">While currently a minor hotspot, continuous efforts to improve energy efficiency at manufacturing sites and increase renewable energy procurement beyond pnpkosfkvt will further reduce Scope 2 emissions.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kwtspsywvw</dc:title>
  <dc:creator/>
  <dc:description>High-detail Product Carbon Footprint (PCF) analysis report for product kwtspsywvw, conducted by hxllzdlxqn following the GHG Protocol for yxyzmywijl.</dc:description>
  <dc:language>en</dc:language>
  <cp:keywords/>
  <dcterms:created xsi:type="dcterms:W3CDTF">2026-05-30T22:07:13Z</dcterms:created>
  <dcterms:modified xsi:type="dcterms:W3CDTF">2026-05-30T22:07:13Z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