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kwssrtrwxu</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 Name:</w:t>
      </w:r>
      <w:r>
        <w:t xml:space="preserve"> </w:t>
      </w:r>
      <w:r>
        <w:t xml:space="preserve">kwssrtrwxu</w:t>
      </w:r>
    </w:p>
    <w:p>
      <w:pPr>
        <w:pStyle w:val="BodyText"/>
      </w:pPr>
      <w:r>
        <w:rPr>
          <w:bCs/>
          <w:b/>
        </w:rPr>
        <w:t xml:space="preserve">Company Name:</w:t>
      </w:r>
      <w:r>
        <w:t xml:space="preserve"> </w:t>
      </w:r>
      <w:r>
        <w:t xml:space="preserve">xrozmrjzes</w:t>
      </w:r>
    </w:p>
    <w:p>
      <w:pPr>
        <w:pStyle w:val="BodyText"/>
      </w:pPr>
      <w:r>
        <w:rPr>
          <w:bCs/>
          <w:b/>
        </w:rPr>
        <w:t xml:space="preserve">Senior Sustainability Consultant:</w:t>
      </w:r>
      <w:r>
        <w:t xml:space="preserve"> </w:t>
      </w:r>
      <w:r>
        <w:t xml:space="preserve">dmyrjnksjy</w:t>
      </w:r>
    </w:p>
    <w:p>
      <w:pPr>
        <w:pStyle w:val="BodyText"/>
      </w:pPr>
      <w:r>
        <w:rPr>
          <w:bCs/>
          <w:b/>
        </w:rPr>
        <w:t xml:space="preserve">Accounting Standard:</w:t>
      </w:r>
      <w:r>
        <w:t xml:space="preserve"> </w:t>
      </w:r>
      <w:r>
        <w:t xml:space="preserve">GHG Protocol</w:t>
      </w:r>
    </w:p>
    <w:p>
      <w:pPr>
        <w:pStyle w:val="BodyText"/>
      </w:pPr>
      <w:r>
        <w:t xml:space="preserve">Disclaimer: This report is generated based on available data and industry standards. While efforts have been made to ensure accuracy, the actual environmental impact may vary based on real-world conditions and data precision. Numerical calculations presented are illustrative, utilizing provided placeholder strings as conceptual inputs where specific values were not available.</w:t>
      </w:r>
    </w:p>
    <w:bookmarkEnd w:id="20"/>
    <w:bookmarkStart w:id="21" w:name="X400f5217e9ef9957ece0b52df216948a2c23c93"/>
    <w:p>
      <w:pPr>
        <w:pStyle w:val="Heading1"/>
      </w:pPr>
      <w:r>
        <w:t xml:space="preserve">Product Carbon Footprint Analysis for kwssrtrwxu</w:t>
      </w:r>
    </w:p>
    <w:p>
      <w:pPr>
        <w:pStyle w:val="FirstParagraph"/>
      </w:pPr>
      <w:r>
        <w:t xml:space="preserve">Generated Date: May 29, 2026</w:t>
      </w:r>
    </w:p>
    <w:bookmarkEnd w:id="21"/>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the product kwssrtrwxu, manufactured by xrozmrjzes. Conducted by Senior Sustainability Consultant dmyrjnksjy, this analysis adheres strictly to the GHG Protocol Product Standard, incorporating the 2026 Land Sector and Removals (LSR) Standard and ensuring comprehensive Scope 3 coverage. The study covers the entire lifecycle from raw material acquisition to end-of-life, with a system boundary defined as \'factory_gate\' for the initial assessment. The aim is to identify carbon hotspots and provide recommendations for emissions reduction across the product\'s value chain.</w:t>
      </w:r>
    </w:p>
    <w:p>
      <w:r>
        <w:pict>
          <v:rect style="width:0;height:1.5pt" o:hralign="center" o:hrstd="t" o:hr="t"/>
        </w:pict>
      </w:r>
    </w:p>
    <w:bookmarkEnd w:id="22"/>
    <w:bookmarkStart w:id="23" w:name="introduction"/>
    <w:p>
      <w:pPr>
        <w:pStyle w:val="Heading2"/>
      </w:pPr>
      <w:r>
        <w:t xml:space="preserve">1. Introduction</w:t>
      </w:r>
    </w:p>
    <w:p>
      <w:pPr>
        <w:pStyle w:val="FirstParagraph"/>
      </w:pPr>
      <w:r>
        <w:t xml:space="preserve">In an era of increasing environmental awareness and stringent regulations, understanding the carbon footprint of products is paramount for businesses committed to sustainability. This report serves to quantify the greenhouse gas (GHG) emissions associated with the product kwssrtrwxu, produced by xrozmrjzes. By leveraging the robust framework of the GHG Protocol Product Standard, this analysis provides a transparent and actionable assessment of the product\'s environmental impact, identifying key areas for improvement and enabling informed decision-making.</w:t>
      </w:r>
    </w:p>
    <w:p>
      <w:pPr>
        <w:numPr>
          <w:ilvl w:val="0"/>
          <w:numId w:val="1001"/>
        </w:numPr>
        <w:pStyle w:val="Compact"/>
      </w:pPr>
      <w:r>
        <w:rPr>
          <w:bCs/>
          <w:b/>
        </w:rPr>
        <w:t xml:space="preserve">Product Under Analysis:</w:t>
      </w:r>
      <w:r>
        <w:t xml:space="preserve"> </w:t>
      </w:r>
      <w:r>
        <w:t xml:space="preserve">kwssrtrwxu</w:t>
      </w:r>
    </w:p>
    <w:p>
      <w:pPr>
        <w:numPr>
          <w:ilvl w:val="0"/>
          <w:numId w:val="1001"/>
        </w:numPr>
        <w:pStyle w:val="Compact"/>
      </w:pPr>
      <w:r>
        <w:rPr>
          <w:bCs/>
          <w:b/>
        </w:rPr>
        <w:t xml:space="preserve">Company:</w:t>
      </w:r>
      <w:r>
        <w:t xml:space="preserve"> </w:t>
      </w:r>
      <w:r>
        <w:t xml:space="preserve">xrozmrjzes</w:t>
      </w:r>
    </w:p>
    <w:p>
      <w:pPr>
        <w:numPr>
          <w:ilvl w:val="0"/>
          <w:numId w:val="1001"/>
        </w:numPr>
        <w:pStyle w:val="Compact"/>
      </w:pPr>
      <w:r>
        <w:rPr>
          <w:bCs/>
          <w:b/>
        </w:rPr>
        <w:t xml:space="preserve">Senior Sustainability Consultant:</w:t>
      </w:r>
      <w:r>
        <w:t xml:space="preserve"> </w:t>
      </w:r>
      <w:r>
        <w:t xml:space="preserve">dmyrjnksjy</w:t>
      </w:r>
    </w:p>
    <w:p>
      <w:pPr>
        <w:numPr>
          <w:ilvl w:val="0"/>
          <w:numId w:val="1001"/>
        </w:numPr>
        <w:pStyle w:val="Compact"/>
      </w:pPr>
      <w:r>
        <w:rPr>
          <w:bCs/>
          <w:b/>
        </w:rPr>
        <w:t xml:space="preserve">Accounting Standard:</w:t>
      </w:r>
      <w:r>
        <w:t xml:space="preserve"> </w:t>
      </w:r>
      <w:r>
        <w:t xml:space="preserve">GHG Protocol</w:t>
      </w:r>
    </w:p>
    <w:p>
      <w:r>
        <w:pict>
          <v:rect style="width:0;height:1.5pt" o:hralign="center" o:hrstd="t" o:hr="t"/>
        </w:pict>
      </w:r>
    </w:p>
    <w:bookmarkEnd w:id="23"/>
    <w:bookmarkStart w:id="25" w:name="methodology"/>
    <w:p>
      <w:pPr>
        <w:pStyle w:val="Heading2"/>
      </w:pPr>
      <w:r>
        <w:t xml:space="preserve">2. Methodology</w:t>
      </w:r>
    </w:p>
    <w:p>
      <w:pPr>
        <w:pStyle w:val="FirstParagraph"/>
      </w:pPr>
      <w:r>
        <w:t xml:space="preserve">The Product Carbon Footprint (PCF) analysis for kwssrtrwxu follows a structured, five-step methodology in line with international best practices and the GHG Protocol Product Standard:</w:t>
      </w:r>
    </w:p>
    <w:p>
      <w:pPr>
        <w:numPr>
          <w:ilvl w:val="0"/>
          <w:numId w:val="1002"/>
        </w:numPr>
        <w:pStyle w:val="Compact"/>
      </w:pPr>
      <w:r>
        <w:rPr>
          <w:bCs/>
          <w:b/>
        </w:rPr>
        <w:t xml:space="preserve">Define Scope:</w:t>
      </w:r>
      <w:r>
        <w:t xml:space="preserve"> </w:t>
      </w:r>
      <w:r>
        <w:t xml:space="preserve">Establish the functional unit, system boundaries, geographic scope, and allocation rules.</w:t>
      </w:r>
    </w:p>
    <w:p>
      <w:pPr>
        <w:numPr>
          <w:ilvl w:val="0"/>
          <w:numId w:val="1002"/>
        </w:numPr>
        <w:pStyle w:val="Compact"/>
      </w:pPr>
      <w:r>
        <w:rPr>
          <w:bCs/>
          <w:b/>
        </w:rPr>
        <w:t xml:space="preserve">Map Lifecycle (LCI Inventory Stages):</w:t>
      </w:r>
      <w:r>
        <w:t xml:space="preserve"> </w:t>
      </w:r>
      <w:r>
        <w:t xml:space="preserve">Detail all relevant lifecycle stages from raw material extraction to end-of-life.</w:t>
      </w:r>
    </w:p>
    <w:p>
      <w:pPr>
        <w:numPr>
          <w:ilvl w:val="0"/>
          <w:numId w:val="1002"/>
        </w:numPr>
        <w:pStyle w:val="Compact"/>
      </w:pPr>
      <w:r>
        <w:rPr>
          <w:bCs/>
          <w:b/>
        </w:rPr>
        <w:t xml:space="preserve">Collect Data:</w:t>
      </w:r>
      <w:r>
        <w:t xml:space="preserve"> </w:t>
      </w:r>
      <w:r>
        <w:t xml:space="preserve">Gather primary and secondary data points for material inputs, energy consumption, transport, and waste.</w:t>
      </w:r>
    </w:p>
    <w:p>
      <w:pPr>
        <w:numPr>
          <w:ilvl w:val="0"/>
          <w:numId w:val="1002"/>
        </w:numPr>
        <w:pStyle w:val="Compact"/>
      </w:pPr>
      <w:r>
        <w:rPr>
          <w:bCs/>
          <w:b/>
        </w:rPr>
        <w:t xml:space="preserve">Calculate Emissions:</w:t>
      </w:r>
      <w:r>
        <w:t xml:space="preserve"> </w:t>
      </w:r>
      <w:r>
        <w:t xml:space="preserve">Quantify GHG emissions by multiplying activity data by appropriate emission factors, expressed in CO2e.</w:t>
      </w:r>
    </w:p>
    <w:p>
      <w:pPr>
        <w:numPr>
          <w:ilvl w:val="0"/>
          <w:numId w:val="1002"/>
        </w:numPr>
        <w:pStyle w:val="Compact"/>
      </w:pPr>
      <w:r>
        <w:rPr>
          <w:bCs/>
          <w:b/>
        </w:rPr>
        <w:t xml:space="preserve">Review &amp; Report:</w:t>
      </w:r>
      <w:r>
        <w:t xml:space="preserve"> </w:t>
      </w:r>
      <w:r>
        <w:t xml:space="preserve">Analyze results, identify hotspots, assess reliability, and present findings and recommendations.</w:t>
      </w:r>
    </w:p>
    <w:bookmarkStart w:id="24" w:name="ghg-protocol-adherence-and-2026-updates"/>
    <w:p>
      <w:pPr>
        <w:pStyle w:val="Heading3"/>
      </w:pPr>
      <w:r>
        <w:t xml:space="preserve">GHG Protocol Adherence and 2026 Updates</w:t>
      </w:r>
    </w:p>
    <w:p>
      <w:pPr>
        <w:pStyle w:val="FirstParagraph"/>
      </w:pPr>
      <w:r>
        <w:t xml:space="preserve">This analysis strictly adheres to the GHG Protocol Product Standard. Emissions are categorized into the following scopes:</w:t>
      </w:r>
    </w:p>
    <w:p>
      <w:pPr>
        <w:numPr>
          <w:ilvl w:val="0"/>
          <w:numId w:val="1003"/>
        </w:numPr>
        <w:pStyle w:val="Compact"/>
      </w:pPr>
      <w:r>
        <w:rPr>
          <w:bCs/>
          <w:b/>
        </w:rPr>
        <w:t xml:space="preserve">Scope 1:</w:t>
      </w:r>
      <w:r>
        <w:t xml:space="preserve"> </w:t>
      </w:r>
      <w:r>
        <w:t xml:space="preserve">Direct emissions from sources owned or controlled by xrozmrjzes (e.g., manufacturing facilities).</w:t>
      </w:r>
    </w:p>
    <w:p>
      <w:pPr>
        <w:numPr>
          <w:ilvl w:val="0"/>
          <w:numId w:val="1003"/>
        </w:numPr>
        <w:pStyle w:val="Compact"/>
      </w:pPr>
      <w:r>
        <w:rPr>
          <w:bCs/>
          <w:b/>
        </w:rPr>
        <w:t xml:space="preserve">Scope 2:</w:t>
      </w:r>
      <w:r>
        <w:t xml:space="preserve"> </w:t>
      </w:r>
      <w:r>
        <w:t xml:space="preserve">Indirect emissions from the generation of purchased electricity, heat, or steam consumed by xrozmrjzes.</w:t>
      </w:r>
    </w:p>
    <w:p>
      <w:pPr>
        <w:numPr>
          <w:ilvl w:val="0"/>
          <w:numId w:val="1003"/>
        </w:numPr>
        <w:pStyle w:val="Compact"/>
      </w:pPr>
      <w:r>
        <w:rPr>
          <w:bCs/>
          <w:b/>
        </w:rPr>
        <w:t xml:space="preserve">Scope 3:</w:t>
      </w:r>
      <w:r>
        <w:t xml:space="preserve"> </w:t>
      </w:r>
      <w:r>
        <w:t xml:space="preserve">All other indirect emissions that occur in the value chain of kwssrtrwxu, both upstream and downstream. This analysis ensures at least 95% coverage for Scope 3 reporting, aligning with the stringent 2026 requirements.</w:t>
      </w:r>
    </w:p>
    <w:p>
      <w:pPr>
        <w:pStyle w:val="FirstParagraph"/>
      </w:pPr>
      <w:r>
        <w:t xml:space="preserve">Furthermore, the analysis applies the</w:t>
      </w:r>
      <w:r>
        <w:t xml:space="preserve"> </w:t>
      </w:r>
      <w:r>
        <w:rPr>
          <w:bCs/>
          <w:b/>
        </w:rPr>
        <w:t xml:space="preserve">2026 Land Sector and Removals (LSR) Standard</w:t>
      </w:r>
      <w:r>
        <w:t xml:space="preserve">, released on January 30, 2026, to account for land use emissions and carbon removals, providing a more holistic view of the product\'s biogenic carbon impacts where relevant. The LSR Standard is effective from January 1, 2027, with additional guidance expected in Q2 2026.</w:t>
      </w:r>
    </w:p>
    <w:p>
      <w:r>
        <w:pict>
          <v:rect style="width:0;height:1.5pt" o:hralign="center" o:hrstd="t" o:hr="t"/>
        </w:pict>
      </w:r>
    </w:p>
    <w:bookmarkEnd w:id="24"/>
    <w:bookmarkEnd w:id="25"/>
    <w:bookmarkStart w:id="26" w:name="scope-definition"/>
    <w:p>
      <w:pPr>
        <w:pStyle w:val="Heading2"/>
      </w:pPr>
      <w:r>
        <w:t xml:space="preserve">3. Scope Definition</w:t>
      </w:r>
    </w:p>
    <w:p>
      <w:pPr>
        <w:pStyle w:val="FirstParagraph"/>
      </w:pPr>
      <w:r>
        <w:t xml:space="preserve">The foundational step of any PCF analysis is clearly defining the study\'s scope. For kwssrtrwxu, the following parameters have been established:</w:t>
      </w:r>
    </w:p>
    <w:p>
      <w:pPr>
        <w:numPr>
          <w:ilvl w:val="0"/>
          <w:numId w:val="1004"/>
        </w:numPr>
        <w:pStyle w:val="Compact"/>
      </w:pPr>
      <w:r>
        <w:rPr>
          <w:bCs/>
          <w:b/>
        </w:rPr>
        <w:t xml:space="preserve">Functional Unit:</w:t>
      </w:r>
      <w:r>
        <w:t xml:space="preserve"> </w:t>
      </w:r>
      <w:r>
        <w:t xml:space="preserve">1.0 unit of kwssrtrwxu. This serves as the reference flow to which all input and output data are normalized.</w:t>
      </w:r>
    </w:p>
    <w:p>
      <w:pPr>
        <w:numPr>
          <w:ilvl w:val="0"/>
          <w:numId w:val="1004"/>
        </w:numPr>
        <w:pStyle w:val="Compact"/>
      </w:pPr>
      <w:r>
        <w:rPr>
          <w:bCs/>
          <w:b/>
        </w:rPr>
        <w:t xml:space="preserve">System Boundary:</w:t>
      </w:r>
      <w:r>
        <w:t xml:space="preserve"> </w:t>
      </w:r>
      <w:r>
        <w:t xml:space="preserve">factory_gate. This boundary encompasses all processes from raw material acquisition, through manufacturing at the final production site, up to the point the product leaves the factory gate. Upstream supply chain impacts are included, while downstream use-phase and end-of-life impacts are considered separately but within the broader lifecycle context for comprehensive reporting.</w:t>
      </w:r>
    </w:p>
    <w:p>
      <w:pPr>
        <w:numPr>
          <w:ilvl w:val="0"/>
          <w:numId w:val="1004"/>
        </w:numPr>
        <w:pStyle w:val="Compact"/>
      </w:pPr>
      <w:r>
        <w:rPr>
          <w:bCs/>
          <w:b/>
        </w:rPr>
        <w:t xml:space="preserve">Geographic Scope:</w:t>
      </w:r>
    </w:p>
    <w:p>
      <w:pPr>
        <w:numPr>
          <w:ilvl w:val="1"/>
          <w:numId w:val="1005"/>
        </w:numPr>
        <w:pStyle w:val="Compact"/>
      </w:pPr>
      <w:r>
        <w:rPr>
          <w:bCs/>
          <w:b/>
        </w:rPr>
        <w:t xml:space="preserve">Final Production Country:</w:t>
      </w:r>
      <w:r>
        <w:t xml:space="preserve"> </w:t>
      </w:r>
      <w:r>
        <w:t xml:space="preserve">China.</w:t>
      </w:r>
    </w:p>
    <w:p>
      <w:pPr>
        <w:numPr>
          <w:ilvl w:val="1"/>
          <w:numId w:val="1005"/>
        </w:numPr>
        <w:pStyle w:val="Compact"/>
      </w:pPr>
      <w:r>
        <w:rPr>
          <w:bCs/>
          <w:b/>
        </w:rPr>
        <w:t xml:space="preserve">Supply Chain Focus:</w:t>
      </w:r>
      <w:r>
        <w:t xml:space="preserve"> </w:t>
      </w:r>
      <w:r>
        <w:t xml:space="preserve">Europe Focused. This implies that upstream material sourcing and intermediate manufacturing processes largely occur within Europe, before final assembly/production in China.</w:t>
      </w:r>
    </w:p>
    <w:p>
      <w:pPr>
        <w:numPr>
          <w:ilvl w:val="0"/>
          <w:numId w:val="1004"/>
        </w:numPr>
        <w:pStyle w:val="Compact"/>
      </w:pPr>
      <w:r>
        <w:rPr>
          <w:bCs/>
          <w:b/>
        </w:rPr>
        <w:t xml:space="preserve">Allocation:</w:t>
      </w:r>
      <w:r>
        <w:t xml:space="preserve"> </w:t>
      </w:r>
      <w:r>
        <w:t xml:space="preserve">Where co-production or multi-output processes occur, allocation methods (e.g., mass, economic value) would be applied to assign environmental burdens to the kwssrtrwxu product. Specific allocation rules would be detailed upon availability of process-specific data.</w:t>
      </w:r>
    </w:p>
    <w:p>
      <w:r>
        <w:pict>
          <v:rect style="width:0;height:1.5pt" o:hralign="center" o:hrstd="t" o:hr="t"/>
        </w:pict>
      </w:r>
    </w:p>
    <w:bookmarkEnd w:id="26"/>
    <w:bookmarkStart w:id="31" w:name="lifecycle-inventory-lci-data-collection"/>
    <w:p>
      <w:pPr>
        <w:pStyle w:val="Heading2"/>
      </w:pPr>
      <w:r>
        <w:t xml:space="preserve">4. Lifecycle Inventory (LCI) &amp; Data Collection</w:t>
      </w:r>
    </w:p>
    <w:p>
      <w:pPr>
        <w:pStyle w:val="FirstParagraph"/>
      </w:pPr>
      <w:r>
        <w:t xml:space="preserve">This stage involves mapping all relevant processes and collecting detailed data on material inputs, energy consumption, transportation, and waste generation across the product\'s lifecycle. High-accuracy data is crucial for reliable PCF results.</w:t>
      </w:r>
    </w:p>
    <w:bookmarkStart w:id="27" w:name="detailed-bill-of-materials-bom"/>
    <w:p>
      <w:pPr>
        <w:pStyle w:val="Heading3"/>
      </w:pPr>
      <w:r>
        <w:t xml:space="preserve">Detailed Bill of Materials (BOM)</w:t>
      </w:r>
    </w:p>
    <w:p>
      <w:pPr>
        <w:pStyle w:val="FirstParagraph"/>
      </w:pPr>
      <w:r>
        <w:t xml:space="preserve">The provided Detailed Bill of Materials (BOM) for kwssrtrwxu, referred to as `mrzefivs`, is critical for calculating the material impact. This BOM details each component, its quantity, and pre-calculated carbon impact. For illustrative purposes, an example structure of how this BOM data would be presented is shown below. In a real analysis, the actual data from `mrzefivs` would populate this table for high-accuracy material impact calculation, ensuring that specific values for ID, Description, Category, Process, Qty, Unit, Emission Factor, and Total Carbon are utilized as provided.</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Component A (e.g., Aluminum Alloy)</w:t>
            </w:r>
          </w:p>
        </w:tc>
        <w:tc>
          <w:tcPr/>
          <w:p>
            <w:pPr>
              <w:pStyle w:val="Compact"/>
              <w:jc w:val="left"/>
            </w:pPr>
            <w:r>
              <w:t xml:space="preserve">Metals</w:t>
            </w:r>
          </w:p>
        </w:tc>
        <w:tc>
          <w:tcPr/>
          <w:p>
            <w:pPr>
              <w:pStyle w:val="Compact"/>
              <w:jc w:val="left"/>
            </w:pPr>
            <w:r>
              <w:t xml:space="preserve">Primary Smelting &amp; Forming</w:t>
            </w:r>
          </w:p>
        </w:tc>
        <w:tc>
          <w:tcPr/>
          <w:p>
            <w:pPr>
              <w:pStyle w:val="Compact"/>
              <w:jc w:val="left"/>
            </w:pPr>
            <w:r>
              <w:t xml:space="preserve">15</w:t>
            </w:r>
          </w:p>
        </w:tc>
        <w:tc>
          <w:tcPr/>
          <w:p>
            <w:pPr>
              <w:pStyle w:val="Compact"/>
              <w:jc w:val="left"/>
            </w:pPr>
            <w:r>
              <w:t xml:space="preserve">kg</w:t>
            </w:r>
          </w:p>
        </w:tc>
        <w:tc>
          <w:tcPr/>
          <w:p>
            <w:pPr>
              <w:pStyle w:val="Compact"/>
              <w:jc w:val="left"/>
            </w:pPr>
            <w:r>
              <w:t xml:space="preserve">2.0 (Illustrative)</w:t>
            </w:r>
          </w:p>
        </w:tc>
        <w:tc>
          <w:tcPr/>
          <w:p>
            <w:pPr>
              <w:pStyle w:val="Compact"/>
              <w:jc w:val="left"/>
            </w:pPr>
            <w:r>
              <w:t xml:space="preserve">30.0 (Illustrative)</w:t>
            </w:r>
          </w:p>
        </w:tc>
      </w:tr>
      <w:tr>
        <w:tc>
          <w:tcPr/>
          <w:p>
            <w:pPr>
              <w:pStyle w:val="Compact"/>
              <w:jc w:val="left"/>
            </w:pPr>
            <w:r>
              <w:t xml:space="preserve">2</w:t>
            </w:r>
          </w:p>
        </w:tc>
        <w:tc>
          <w:tcPr/>
          <w:p>
            <w:pPr>
              <w:pStyle w:val="Compact"/>
              <w:jc w:val="left"/>
            </w:pPr>
            <w:r>
              <w:t xml:space="preserve">Component B (e.g., ABS Plastic)</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5</w:t>
            </w:r>
          </w:p>
        </w:tc>
        <w:tc>
          <w:tcPr/>
          <w:p>
            <w:pPr>
              <w:pStyle w:val="Compact"/>
              <w:jc w:val="left"/>
            </w:pPr>
            <w:r>
              <w:t xml:space="preserve">kg</w:t>
            </w:r>
          </w:p>
        </w:tc>
        <w:tc>
          <w:tcPr/>
          <w:p>
            <w:pPr>
              <w:pStyle w:val="Compact"/>
              <w:jc w:val="left"/>
            </w:pPr>
            <w:r>
              <w:t xml:space="preserve">3.5 (Illustrative)</w:t>
            </w:r>
          </w:p>
        </w:tc>
        <w:tc>
          <w:tcPr/>
          <w:p>
            <w:pPr>
              <w:pStyle w:val="Compact"/>
              <w:jc w:val="left"/>
            </w:pPr>
            <w:r>
              <w:t xml:space="preserve">17.5 (Illustrative)</w:t>
            </w:r>
          </w:p>
        </w:tc>
      </w:tr>
      <w:tr>
        <w:tc>
          <w:tcPr/>
          <w:p>
            <w:pPr>
              <w:pStyle w:val="Compact"/>
              <w:jc w:val="left"/>
            </w:pPr>
            <w:r>
              <w:t xml:space="preserve">3</w:t>
            </w:r>
          </w:p>
        </w:tc>
        <w:tc>
          <w:tcPr/>
          <w:p>
            <w:pPr>
              <w:pStyle w:val="Compact"/>
              <w:jc w:val="left"/>
            </w:pPr>
            <w:r>
              <w:t xml:space="preserve">Component C (e.g., Silicon Chip)</w:t>
            </w:r>
          </w:p>
        </w:tc>
        <w:tc>
          <w:tcPr/>
          <w:p>
            <w:pPr>
              <w:pStyle w:val="Compact"/>
              <w:jc w:val="left"/>
            </w:pPr>
            <w:r>
              <w:t xml:space="preserve">Electronics</w:t>
            </w:r>
          </w:p>
        </w:tc>
        <w:tc>
          <w:tcPr/>
          <w:p>
            <w:pPr>
              <w:pStyle w:val="Compact"/>
              <w:jc w:val="left"/>
            </w:pPr>
            <w:r>
              <w:t xml:space="preserve">Semiconductor Mfg.</w:t>
            </w:r>
          </w:p>
        </w:tc>
        <w:tc>
          <w:tcPr/>
          <w:p>
            <w:pPr>
              <w:pStyle w:val="Compact"/>
              <w:jc w:val="left"/>
            </w:pPr>
            <w:r>
              <w:t xml:space="preserve">0.01</w:t>
            </w:r>
          </w:p>
        </w:tc>
        <w:tc>
          <w:tcPr/>
          <w:p>
            <w:pPr>
              <w:pStyle w:val="Compact"/>
              <w:jc w:val="left"/>
            </w:pPr>
            <w:r>
              <w:t xml:space="preserve">kg</w:t>
            </w:r>
          </w:p>
        </w:tc>
        <w:tc>
          <w:tcPr/>
          <w:p>
            <w:pPr>
              <w:pStyle w:val="Compact"/>
              <w:jc w:val="left"/>
            </w:pPr>
            <w:r>
              <w:t xml:space="preserve">5000 (Illustrative)</w:t>
            </w:r>
          </w:p>
        </w:tc>
        <w:tc>
          <w:tcPr/>
          <w:p>
            <w:pPr>
              <w:pStyle w:val="Compact"/>
              <w:jc w:val="left"/>
            </w:pPr>
            <w:r>
              <w:t xml:space="preserve">50.0 (Illustrative)</w:t>
            </w:r>
          </w:p>
        </w:tc>
      </w:tr>
      <w:tr>
        <w:tc>
          <w:tcPr/>
          <w:p>
            <w:pPr>
              <w:pStyle w:val="Compact"/>
              <w:jc w:val="left"/>
            </w:pPr>
            <w:r>
              <w:t xml:space="preserve">4</w:t>
            </w:r>
          </w:p>
        </w:tc>
        <w:tc>
          <w:tcPr/>
          <w:p>
            <w:pPr>
              <w:pStyle w:val="Compact"/>
              <w:jc w:val="left"/>
            </w:pPr>
            <w:r>
              <w:t xml:space="preserve">Component D (e.g., Copper Wiring)</w:t>
            </w:r>
          </w:p>
        </w:tc>
        <w:tc>
          <w:tcPr/>
          <w:p>
            <w:pPr>
              <w:pStyle w:val="Compact"/>
              <w:jc w:val="left"/>
            </w:pPr>
            <w:r>
              <w:t xml:space="preserve">Metals</w:t>
            </w:r>
          </w:p>
        </w:tc>
        <w:tc>
          <w:tcPr/>
          <w:p>
            <w:pPr>
              <w:pStyle w:val="Compact"/>
              <w:jc w:val="left"/>
            </w:pPr>
            <w:r>
              <w:t xml:space="preserve">Drawing &amp; Annealing</w:t>
            </w:r>
          </w:p>
        </w:tc>
        <w:tc>
          <w:tcPr/>
          <w:p>
            <w:pPr>
              <w:pStyle w:val="Compact"/>
              <w:jc w:val="left"/>
            </w:pPr>
            <w:r>
              <w:t xml:space="preserve">2</w:t>
            </w:r>
          </w:p>
        </w:tc>
        <w:tc>
          <w:tcPr/>
          <w:p>
            <w:pPr>
              <w:pStyle w:val="Compact"/>
              <w:jc w:val="left"/>
            </w:pPr>
            <w:r>
              <w:t xml:space="preserve">kg</w:t>
            </w:r>
          </w:p>
        </w:tc>
        <w:tc>
          <w:tcPr/>
          <w:p>
            <w:pPr>
              <w:pStyle w:val="Compact"/>
              <w:jc w:val="left"/>
            </w:pPr>
            <w:r>
              <w:t xml:space="preserve">1.8 (Illustrative)</w:t>
            </w:r>
          </w:p>
        </w:tc>
        <w:tc>
          <w:tcPr/>
          <w:p>
            <w:pPr>
              <w:pStyle w:val="Compact"/>
              <w:jc w:val="left"/>
            </w:pPr>
            <w:r>
              <w:t xml:space="preserve">3.6 (Illustrative)</w:t>
            </w:r>
          </w:p>
        </w:tc>
      </w:tr>
      <w:tr>
        <w:tc>
          <w:tcPr>
            <w:gridSpan w:val="7"/>
          </w:tcPr>
          <w:p>
            <w:pPr>
              <w:pStyle w:val="Compact"/>
              <w:jc w:val="right"/>
            </w:pPr>
            <w:r>
              <w:t xml:space="preserve">Sub-Total Material Carbon (Illustrative):</w:t>
            </w:r>
          </w:p>
        </w:tc>
        <w:tc>
          <w:tcPr/>
          <w:p>
            <w:pPr>
              <w:pStyle w:val="Compact"/>
              <w:jc w:val="left"/>
            </w:pPr>
            <w:r>
              <w:t xml:space="preserve">~101.1 kg CO2e</w:t>
            </w:r>
          </w:p>
        </w:tc>
      </w:tr>
    </w:tbl>
    <w:p>
      <w:pPr>
        <w:pStyle w:val="BodyText"/>
      </w:pPr>
      <w:r>
        <w:rPr>
          <w:iCs/>
          <w:i/>
        </w:rPr>
        <w:t xml:space="preserve">Note: The values in the table above are illustrative examples to demonstrate the structure of the BOM data `mrzefivs`. The actual analysis would utilize the specific `ID, Description, Category, Process, Qty, Unit, Emission Factor, Total Carbon` values provided within `mrzefivs`.</w:t>
      </w:r>
    </w:p>
    <w:bookmarkEnd w:id="27"/>
    <w:bookmarkStart w:id="28" w:name="energy-inputs-for-production"/>
    <w:p>
      <w:pPr>
        <w:pStyle w:val="Heading3"/>
      </w:pPr>
      <w:r>
        <w:t xml:space="preserve">Energy Inputs for Production</w:t>
      </w:r>
    </w:p>
    <w:p>
      <w:pPr>
        <w:pStyle w:val="FirstParagraph"/>
      </w:pPr>
      <w:r>
        <w:t xml:space="preserve">Energy consumption during the production phase in China is a significant data point. The analysis incorporates:</w:t>
      </w:r>
    </w:p>
    <w:p>
      <w:pPr>
        <w:numPr>
          <w:ilvl w:val="0"/>
          <w:numId w:val="1006"/>
        </w:numPr>
        <w:pStyle w:val="Compact"/>
      </w:pPr>
      <w:r>
        <w:rPr>
          <w:bCs/>
          <w:b/>
        </w:rPr>
        <w:t xml:space="preserve">Energy Intensity (kWh/unit):</w:t>
      </w:r>
      <w:r>
        <w:t xml:space="preserve"> </w:t>
      </w:r>
      <w:r>
        <w:t xml:space="preserve">jomlermwvw</w:t>
      </w:r>
    </w:p>
    <w:p>
      <w:pPr>
        <w:numPr>
          <w:ilvl w:val="0"/>
          <w:numId w:val="1006"/>
        </w:numPr>
        <w:pStyle w:val="Compact"/>
      </w:pPr>
      <w:r>
        <w:rPr>
          <w:bCs/>
          <w:b/>
        </w:rPr>
        <w:t xml:space="preserve">Renewable Energy Usage:</w:t>
      </w:r>
      <w:r>
        <w:t xml:space="preserve"> </w:t>
      </w:r>
      <w:r>
        <w:t xml:space="preserve">ughdjugppu (percentage of total energy from renewable sources)</w:t>
      </w:r>
    </w:p>
    <w:p>
      <w:pPr>
        <w:numPr>
          <w:ilvl w:val="0"/>
          <w:numId w:val="1006"/>
        </w:numPr>
        <w:pStyle w:val="Compact"/>
      </w:pPr>
      <w:r>
        <w:rPr>
          <w:iCs/>
          <w:i/>
        </w:rPr>
        <w:t xml:space="preserve">Calculation Note:</w:t>
      </w:r>
      <w:r>
        <w:t xml:space="preserve"> </w:t>
      </w:r>
      <w:r>
        <w:t xml:space="preserve">The overall grid mix for China, adjusted by the company\'s specific renewable energy procurement (`ughdjugppu`), would be used to determine the effective emission factor for purchased electricity. Ecoinvent, for instance, provides electricity and heat data reflecting global energy mixes, including specific updates for China.</w:t>
      </w:r>
    </w:p>
    <w:bookmarkEnd w:id="28"/>
    <w:bookmarkStart w:id="29" w:name="logistics-and-transportation-data"/>
    <w:p>
      <w:pPr>
        <w:pStyle w:val="Heading3"/>
      </w:pPr>
      <w:r>
        <w:t xml:space="preserve">Logistics and Transportation Data</w:t>
      </w:r>
    </w:p>
    <w:p>
      <w:pPr>
        <w:pStyle w:val="FirstParagraph"/>
      </w:pPr>
      <w:r>
        <w:t xml:space="preserve">Transportation plays a crucial role in upstream (material sourcing) and downstream (delivery to customer) emissions. The following logistics data is integrated:</w:t>
      </w:r>
    </w:p>
    <w:p>
      <w:pPr>
        <w:numPr>
          <w:ilvl w:val="0"/>
          <w:numId w:val="1007"/>
        </w:numPr>
        <w:pStyle w:val="Compact"/>
      </w:pPr>
      <w:r>
        <w:rPr>
          <w:bCs/>
          <w:b/>
        </w:rPr>
        <w:t xml:space="preserve">Primary Transport Mode (e.g., for components from Europe to China):</w:t>
      </w:r>
      <w:r>
        <w:t xml:space="preserve"> </w:t>
      </w:r>
      <w:r>
        <w:t xml:space="preserve">Select Mode</w:t>
      </w:r>
    </w:p>
    <w:p>
      <w:pPr>
        <w:numPr>
          <w:ilvl w:val="0"/>
          <w:numId w:val="1007"/>
        </w:numPr>
        <w:pStyle w:val="Compact"/>
      </w:pPr>
      <w:r>
        <w:rPr>
          <w:bCs/>
          <w:b/>
        </w:rPr>
        <w:t xml:space="preserve">Total Transport Distance (for primary logistics):</w:t>
      </w:r>
      <w:r>
        <w:t xml:space="preserve"> </w:t>
      </w:r>
      <w:r>
        <w:t xml:space="preserve">ihxhvspmme</w:t>
      </w:r>
    </w:p>
    <w:p>
      <w:pPr>
        <w:numPr>
          <w:ilvl w:val="0"/>
          <w:numId w:val="1007"/>
        </w:numPr>
        <w:pStyle w:val="Compact"/>
      </w:pPr>
      <w:r>
        <w:rPr>
          <w:bCs/>
          <w:b/>
        </w:rPr>
        <w:t xml:space="preserve">Last-Mile Delivery Channel:</w:t>
      </w:r>
      <w:r>
        <w:t xml:space="preserve"> </w:t>
      </w:r>
      <w:r>
        <w:t xml:space="preserve">Delivery Type</w:t>
      </w:r>
    </w:p>
    <w:p>
      <w:pPr>
        <w:numPr>
          <w:ilvl w:val="0"/>
          <w:numId w:val="1007"/>
        </w:numPr>
        <w:pStyle w:val="Compact"/>
      </w:pPr>
      <w:r>
        <w:rPr>
          <w:iCs/>
          <w:i/>
        </w:rPr>
        <w:t xml:space="preserve">Calculation Note:</w:t>
      </w:r>
      <w:r>
        <w:t xml:space="preserve"> </w:t>
      </w:r>
      <w:r>
        <w:t xml:space="preserve">Specific emission factors for `Select Mode` (e.g., ocean freight, rail, road, air) and `Delivery Type` (e.g., parcel service, company fleet) will be applied based on the provided distance `ihxhvspmme` and typical vehicle efficiencies/fuel types. DEFRA and Ecoinvent databases offer comprehensive transport emission factors.</w:t>
      </w:r>
    </w:p>
    <w:bookmarkEnd w:id="29"/>
    <w:bookmarkStart w:id="30" w:name="use-phase-and-end-of-life-data"/>
    <w:p>
      <w:pPr>
        <w:pStyle w:val="Heading3"/>
      </w:pPr>
      <w:r>
        <w:t xml:space="preserve">Use Phase and End-of-Life Data</w:t>
      </w:r>
    </w:p>
    <w:p>
      <w:pPr>
        <w:pStyle w:val="FirstParagraph"/>
      </w:pPr>
      <w:r>
        <w:t xml:space="preserve">Data related to the product\'s lifespan and end-of-life scenarios are essential for a comprehensive lifecycle assessment:</w:t>
      </w:r>
    </w:p>
    <w:p>
      <w:pPr>
        <w:numPr>
          <w:ilvl w:val="0"/>
          <w:numId w:val="1008"/>
        </w:numPr>
        <w:pStyle w:val="Compact"/>
      </w:pPr>
      <w:r>
        <w:rPr>
          <w:bCs/>
          <w:b/>
        </w:rPr>
        <w:t xml:space="preserve">Product Lifespan:</w:t>
      </w:r>
      <w:r>
        <w:t xml:space="preserve"> </w:t>
      </w:r>
      <w:r>
        <w:t xml:space="preserve">vpwgdpzojr</w:t>
      </w:r>
    </w:p>
    <w:p>
      <w:pPr>
        <w:numPr>
          <w:ilvl w:val="0"/>
          <w:numId w:val="1008"/>
        </w:numPr>
        <w:pStyle w:val="Compact"/>
      </w:pPr>
      <w:r>
        <w:rPr>
          <w:bCs/>
          <w:b/>
        </w:rPr>
        <w:t xml:space="preserve">Energy Consumption in Use:</w:t>
      </w:r>
      <w:r>
        <w:t xml:space="preserve"> </w:t>
      </w:r>
      <w:r>
        <w:t xml:space="preserve">esydmpdvdl (e.g., kWh per year, or per functional use)</w:t>
      </w:r>
    </w:p>
    <w:p>
      <w:pPr>
        <w:numPr>
          <w:ilvl w:val="0"/>
          <w:numId w:val="1008"/>
        </w:numPr>
        <w:pStyle w:val="Compact"/>
      </w:pPr>
      <w:r>
        <w:rPr>
          <w:bCs/>
          <w:b/>
        </w:rPr>
        <w:t xml:space="preserve">Recyclability Percentage:</w:t>
      </w:r>
      <w:r>
        <w:t xml:space="preserve"> </w:t>
      </w:r>
      <w:r>
        <w:t xml:space="preserve">jlfrukwtuj</w:t>
      </w:r>
    </w:p>
    <w:p>
      <w:pPr>
        <w:numPr>
          <w:ilvl w:val="0"/>
          <w:numId w:val="1008"/>
        </w:numPr>
        <w:pStyle w:val="Compact"/>
      </w:pPr>
      <w:r>
        <w:rPr>
          <w:bCs/>
          <w:b/>
        </w:rPr>
        <w:t xml:space="preserve">Circular/Take-back Programs:</w:t>
      </w:r>
      <w:r>
        <w:t xml:space="preserve"> </w:t>
      </w:r>
      <w:r>
        <w:t xml:space="preserve">unfjnqppmx (description of programs)</w:t>
      </w:r>
    </w:p>
    <w:p>
      <w:r>
        <w:pict>
          <v:rect style="width:0;height:1.5pt" o:hralign="center" o:hrstd="t" o:hr="t"/>
        </w:pict>
      </w:r>
    </w:p>
    <w:bookmarkEnd w:id="30"/>
    <w:bookmarkEnd w:id="31"/>
    <w:bookmarkStart w:id="38" w:name="emission-calculation"/>
    <w:p>
      <w:pPr>
        <w:pStyle w:val="Heading2"/>
      </w:pPr>
      <w:r>
        <w:t xml:space="preserve">5. Emission Calculation</w:t>
      </w:r>
    </w:p>
    <w:p>
      <w:pPr>
        <w:pStyle w:val="FirstParagraph"/>
      </w:pPr>
      <w:r>
        <w:t xml:space="preserve">Emissions are calculated for each stage of the product lifecycle by applying the fundamental formula:</w:t>
      </w:r>
      <w:r>
        <w:t xml:space="preserve"> </w:t>
      </w:r>
      <w:r>
        <w:rPr>
          <w:rStyle w:val="VerbatimChar"/>
        </w:rPr>
        <w:t xml:space="preserve">Activity Data × Emission Factor = CO2e</w:t>
      </w:r>
      <w:r>
        <w:t xml:space="preserve">. Industry-standard emission factors, primarily sourced from databases like Ecoinvent and DEFRA, are used for high-accuracy and consistency. The results are categorized according to the GHG Protocol\'s Scope 1, 2, and 3 definitions.</w:t>
      </w:r>
    </w:p>
    <w:bookmarkStart w:id="32" w:name="scope-1-direct-emissions"/>
    <w:p>
      <w:pPr>
        <w:pStyle w:val="Heading3"/>
      </w:pPr>
      <w:r>
        <w:t xml:space="preserve">5.1. Scope 1: Direct Emissions</w:t>
      </w:r>
    </w:p>
    <w:p>
      <w:pPr>
        <w:pStyle w:val="FirstParagraph"/>
      </w:pPr>
      <w:r>
        <w:t xml:space="preserve">For a \'factory_gate\' system boundary, Scope 1 emissions primarily stem from direct fuel combustion at the xrozmrjzes production facilities in China, if applicable (e.g., boilers, company-owned vehicles within the factory premises). Without specific fuel consumption data, these emissions are assumed to be negligible for the product-level PCF unless direct on-site manufacturing emissions are significant.</w:t>
      </w:r>
    </w:p>
    <w:p>
      <w:pPr>
        <w:numPr>
          <w:ilvl w:val="0"/>
          <w:numId w:val="1009"/>
        </w:numPr>
        <w:pStyle w:val="Compact"/>
      </w:pPr>
      <w:r>
        <w:rPr>
          <w:bCs/>
          <w:b/>
        </w:rPr>
        <w:t xml:space="preserve">Estimated Scope 1 Emissions (Illustrative):</w:t>
      </w:r>
      <w:r>
        <w:t xml:space="preserve"> </w:t>
      </w:r>
      <w:r>
        <w:t xml:space="preserve">[Placeholder for calculated value, e.g., 0.5 kg CO2e/unit]</w:t>
      </w:r>
    </w:p>
    <w:bookmarkEnd w:id="32"/>
    <w:bookmarkStart w:id="33" w:name="scope-2-energy-indirect-emissions"/>
    <w:p>
      <w:pPr>
        <w:pStyle w:val="Heading3"/>
      </w:pPr>
      <w:r>
        <w:t xml:space="preserve">5.2. Scope 2: Energy Indirect Emissions</w:t>
      </w:r>
    </w:p>
    <w:p>
      <w:pPr>
        <w:pStyle w:val="FirstParagraph"/>
      </w:pPr>
      <w:r>
        <w:t xml:space="preserve">Scope 2 emissions account for GHG emissions from purchased electricity, heat, or steam used during the manufacturing of kwssrtrwxu in China.</w:t>
      </w:r>
    </w:p>
    <w:p>
      <w:pPr>
        <w:numPr>
          <w:ilvl w:val="0"/>
          <w:numId w:val="1010"/>
        </w:numPr>
        <w:pStyle w:val="Compact"/>
      </w:pPr>
      <w:r>
        <w:rPr>
          <w:bCs/>
          <w:b/>
        </w:rPr>
        <w:t xml:space="preserve">Energy Intensity (kWh/unit):</w:t>
      </w:r>
      <w:r>
        <w:t xml:space="preserve"> </w:t>
      </w:r>
      <w:r>
        <w:t xml:space="preserve">jomlermwvw</w:t>
      </w:r>
    </w:p>
    <w:p>
      <w:pPr>
        <w:numPr>
          <w:ilvl w:val="0"/>
          <w:numId w:val="1010"/>
        </w:numPr>
        <w:pStyle w:val="Compact"/>
      </w:pPr>
      <w:r>
        <w:rPr>
          <w:bCs/>
          <w:b/>
        </w:rPr>
        <w:t xml:space="preserve">Renewable Energy Usage:</w:t>
      </w:r>
      <w:r>
        <w:t xml:space="preserve"> </w:t>
      </w:r>
      <w:r>
        <w:t xml:space="preserve">ughdjugppu</w:t>
      </w:r>
    </w:p>
    <w:p>
      <w:pPr>
        <w:numPr>
          <w:ilvl w:val="0"/>
          <w:numId w:val="1010"/>
        </w:numPr>
        <w:pStyle w:val="Compact"/>
      </w:pPr>
      <w:r>
        <w:rPr>
          <w:iCs/>
          <w:i/>
        </w:rPr>
        <w:t xml:space="preserve">Calculation Approach:</w:t>
      </w:r>
      <w:r>
        <w:t xml:space="preserve"> </w:t>
      </w:r>
      <w:r>
        <w:t xml:space="preserve">The total energy consumption (`jomlermwvw`) is multiplied by the country-specific grid emission factor (for China, e.g., from Ecoinvent data), adjusted downwards based on the percentage of renewable energy sourced by xrozmrjzes (`ughdjugppu`).</w:t>
      </w:r>
    </w:p>
    <w:p>
      <w:pPr>
        <w:numPr>
          <w:ilvl w:val="0"/>
          <w:numId w:val="1010"/>
        </w:numPr>
        <w:pStyle w:val="Compact"/>
      </w:pPr>
      <w:r>
        <w:rPr>
          <w:bCs/>
          <w:b/>
        </w:rPr>
        <w:t xml:space="preserve">Estimated Scope 2 Emissions (Illustrative):</w:t>
      </w:r>
      <w:r>
        <w:t xml:space="preserve"> </w:t>
      </w:r>
      <w:r>
        <w:t xml:space="preserve">[Placeholder for calculated value, e.g., 15.0 kg CO2e/unit]</w:t>
      </w:r>
    </w:p>
    <w:bookmarkEnd w:id="33"/>
    <w:bookmarkStart w:id="36" w:name="scope-3-value-chain-indirect-emissions"/>
    <w:p>
      <w:pPr>
        <w:pStyle w:val="Heading3"/>
      </w:pPr>
      <w:r>
        <w:t xml:space="preserve">5.3. Scope 3: Value Chain Indirect Emissions</w:t>
      </w:r>
    </w:p>
    <w:p>
      <w:pPr>
        <w:pStyle w:val="FirstParagraph"/>
      </w:pPr>
      <w:r>
        <w:t xml:space="preserve">Scope 3 emissions represent the largest portion of a product\'s carbon footprint, covering both upstream and downstream activities. Achieving at least 95% coverage is a key requirement for 2026 compliance, emphasizing comprehensive inclusion and justification for any exclusions.</w:t>
      </w:r>
    </w:p>
    <w:bookmarkStart w:id="34" w:name="upstream-emissions"/>
    <w:p>
      <w:pPr>
        <w:pStyle w:val="Heading4"/>
      </w:pPr>
      <w:r>
        <w:t xml:space="preserve">5.3.1. Upstream Emissions</w:t>
      </w:r>
    </w:p>
    <w:p>
      <w:pPr>
        <w:numPr>
          <w:ilvl w:val="0"/>
          <w:numId w:val="1011"/>
        </w:numPr>
      </w:pPr>
      <w:r>
        <w:rPr>
          <w:bCs/>
          <w:b/>
        </w:rPr>
        <w:t xml:space="preserve">Raw Material Acquisition &amp; Pre-processing (Category 1 - Purchased Goods and Services):</w:t>
      </w:r>
    </w:p>
    <w:p>
      <w:pPr>
        <w:numPr>
          <w:ilvl w:val="0"/>
          <w:numId w:val="1000"/>
        </w:numPr>
      </w:pPr>
      <w:r>
        <w:t xml:space="preserve">Emissions from the extraction, processing, and manufacturing of all materials listed in the `mrzefivs` BOM. The "Total Carbon" values provided in the BOM are directly used for this calculation. DEFRA also provides factors for supply chain emissions of purchased goods.</w:t>
      </w:r>
    </w:p>
    <w:p>
      <w:pPr>
        <w:numPr>
          <w:ilvl w:val="1"/>
          <w:numId w:val="1012"/>
        </w:numPr>
        <w:pStyle w:val="Compact"/>
      </w:pPr>
      <w:r>
        <w:rPr>
          <w:bCs/>
          <w:b/>
        </w:rPr>
        <w:t xml:space="preserve">Illustrative Total from BOM:</w:t>
      </w:r>
      <w:r>
        <w:t xml:space="preserve"> </w:t>
      </w:r>
      <w:r>
        <w:t xml:space="preserve">~101.1 kg CO2e (as per example table in Section 4)</w:t>
      </w:r>
    </w:p>
    <w:p>
      <w:pPr>
        <w:numPr>
          <w:ilvl w:val="0"/>
          <w:numId w:val="1011"/>
        </w:numPr>
      </w:pPr>
      <w:r>
        <w:rPr>
          <w:bCs/>
          <w:b/>
        </w:rPr>
        <w:t xml:space="preserve">Transportation &amp; Distribution (Category 4 - Upstream Transportation and Distribution):</w:t>
      </w:r>
    </w:p>
    <w:p>
      <w:pPr>
        <w:numPr>
          <w:ilvl w:val="0"/>
          <w:numId w:val="1000"/>
        </w:numPr>
      </w:pPr>
      <w:r>
        <w:t xml:space="preserve">Emissions from transporting raw materials and components from European suppliers to the final production facility in China.</w:t>
      </w:r>
    </w:p>
    <w:p>
      <w:pPr>
        <w:numPr>
          <w:ilvl w:val="1"/>
          <w:numId w:val="1013"/>
        </w:numPr>
        <w:pStyle w:val="Compact"/>
      </w:pPr>
      <w:r>
        <w:rPr>
          <w:bCs/>
          <w:b/>
        </w:rPr>
        <w:t xml:space="preserve">Transport Mode:</w:t>
      </w:r>
      <w:r>
        <w:t xml:space="preserve"> </w:t>
      </w:r>
      <w:r>
        <w:t xml:space="preserve">Select Mode</w:t>
      </w:r>
    </w:p>
    <w:p>
      <w:pPr>
        <w:numPr>
          <w:ilvl w:val="1"/>
          <w:numId w:val="1013"/>
        </w:numPr>
        <w:pStyle w:val="Compact"/>
      </w:pPr>
      <w:r>
        <w:rPr>
          <w:bCs/>
          <w:b/>
        </w:rPr>
        <w:t xml:space="preserve">Transport Distance:</w:t>
      </w:r>
      <w:r>
        <w:t xml:space="preserve"> </w:t>
      </w:r>
      <w:r>
        <w:t xml:space="preserve">ihxhvspmme</w:t>
      </w:r>
    </w:p>
    <w:p>
      <w:pPr>
        <w:numPr>
          <w:ilvl w:val="1"/>
          <w:numId w:val="1013"/>
        </w:numPr>
        <w:pStyle w:val="Compact"/>
      </w:pPr>
      <w:r>
        <w:rPr>
          <w:iCs/>
          <w:i/>
        </w:rPr>
        <w:t xml:space="preserve">Calculation:</w:t>
      </w:r>
      <w:r>
        <w:t xml:space="preserve"> </w:t>
      </w:r>
      <w:r>
        <w:t xml:space="preserve">Emissions factors for the `Select Mode` (e.g., CO2e per tonne-km for ocean freight) are applied to the total mass of materials transported over distance `ihxhvspmme`.</w:t>
      </w:r>
    </w:p>
    <w:p>
      <w:pPr>
        <w:numPr>
          <w:ilvl w:val="1"/>
          <w:numId w:val="1013"/>
        </w:numPr>
        <w:pStyle w:val="Compact"/>
      </w:pPr>
      <w:r>
        <w:rPr>
          <w:bCs/>
          <w:b/>
        </w:rPr>
        <w:t xml:space="preserve">Estimated Upstream Transport Emissions (Illustrative):</w:t>
      </w:r>
      <w:r>
        <w:t xml:space="preserve"> </w:t>
      </w:r>
      <w:r>
        <w:t xml:space="preserve">[Placeholder for calculated value, e.g., 5.0 kg CO2e/unit]</w:t>
      </w:r>
    </w:p>
    <w:p>
      <w:pPr>
        <w:numPr>
          <w:ilvl w:val="0"/>
          <w:numId w:val="1011"/>
        </w:numPr>
      </w:pPr>
      <w:r>
        <w:rPr>
          <w:bCs/>
          <w:b/>
        </w:rPr>
        <w:t xml:space="preserve">Waste Generated in Operations (Category 5 - Waste Generated in Operations):</w:t>
      </w:r>
    </w:p>
    <w:p>
      <w:pPr>
        <w:numPr>
          <w:ilvl w:val="0"/>
          <w:numId w:val="1000"/>
        </w:numPr>
      </w:pPr>
      <w:r>
        <w:t xml:space="preserve">Emissions from waste disposal generated during the manufacturing process. Requires data on waste types and disposal methods. (Illustrative placeholder).</w:t>
      </w:r>
    </w:p>
    <w:p>
      <w:pPr>
        <w:numPr>
          <w:ilvl w:val="1"/>
          <w:numId w:val="1014"/>
        </w:numPr>
        <w:pStyle w:val="Compact"/>
      </w:pPr>
      <w:r>
        <w:rPr>
          <w:bCs/>
          <w:b/>
        </w:rPr>
        <w:t xml:space="preserve">Estimated Waste Emissions (Illustrative):</w:t>
      </w:r>
      <w:r>
        <w:t xml:space="preserve"> </w:t>
      </w:r>
      <w:r>
        <w:t xml:space="preserve">[Placeholder for calculated value, e.g., 0.8 kg CO2e/unit]</w:t>
      </w:r>
    </w:p>
    <w:bookmarkEnd w:id="34"/>
    <w:bookmarkStart w:id="35" w:name="downstream-emissions"/>
    <w:p>
      <w:pPr>
        <w:pStyle w:val="Heading4"/>
      </w:pPr>
      <w:r>
        <w:t xml:space="preserve">5.3.2. Downstream Emissions</w:t>
      </w:r>
    </w:p>
    <w:p>
      <w:pPr>
        <w:numPr>
          <w:ilvl w:val="0"/>
          <w:numId w:val="1015"/>
        </w:numPr>
      </w:pPr>
      <w:r>
        <w:rPr>
          <w:bCs/>
          <w:b/>
        </w:rPr>
        <w:t xml:space="preserve">Transportation &amp; Distribution (Category 4 - Downstream Transportation and Distribution):</w:t>
      </w:r>
    </w:p>
    <w:p>
      <w:pPr>
        <w:numPr>
          <w:ilvl w:val="0"/>
          <w:numId w:val="1000"/>
        </w:numPr>
      </w:pPr>
      <w:r>
        <w:t xml:space="preserve">Emissions from transporting the finished kwssrtrwxu product from the factory gate in China to the customer, including last-mile delivery.</w:t>
      </w:r>
    </w:p>
    <w:p>
      <w:pPr>
        <w:numPr>
          <w:ilvl w:val="1"/>
          <w:numId w:val="1016"/>
        </w:numPr>
        <w:pStyle w:val="Compact"/>
      </w:pPr>
      <w:r>
        <w:rPr>
          <w:bCs/>
          <w:b/>
        </w:rPr>
        <w:t xml:space="preserve">Last-Mile Delivery Channel:</w:t>
      </w:r>
      <w:r>
        <w:t xml:space="preserve"> </w:t>
      </w:r>
      <w:r>
        <w:t xml:space="preserve">Delivery Type</w:t>
      </w:r>
    </w:p>
    <w:p>
      <w:pPr>
        <w:numPr>
          <w:ilvl w:val="1"/>
          <w:numId w:val="1016"/>
        </w:numPr>
        <w:pStyle w:val="Compact"/>
      </w:pPr>
      <w:r>
        <w:rPr>
          <w:iCs/>
          <w:i/>
        </w:rPr>
        <w:t xml:space="preserve">Calculation:</w:t>
      </w:r>
      <w:r>
        <w:t xml:space="preserve"> </w:t>
      </w:r>
      <w:r>
        <w:t xml:space="preserve">Emissions factors for `Delivery Type` (e.g., CO2e per parcel-km or vehicle-km) are applied for the distribution network.</w:t>
      </w:r>
    </w:p>
    <w:p>
      <w:pPr>
        <w:numPr>
          <w:ilvl w:val="1"/>
          <w:numId w:val="1016"/>
        </w:numPr>
        <w:pStyle w:val="Compact"/>
      </w:pPr>
      <w:r>
        <w:rPr>
          <w:bCs/>
          <w:b/>
        </w:rPr>
        <w:t xml:space="preserve">Estimated Downstream Transport Emissions (Illustrative):</w:t>
      </w:r>
      <w:r>
        <w:t xml:space="preserve"> </w:t>
      </w:r>
      <w:r>
        <w:t xml:space="preserve">[Placeholder for calculated value, e.g., 2.5 kg CO2e/unit]</w:t>
      </w:r>
    </w:p>
    <w:p>
      <w:pPr>
        <w:numPr>
          <w:ilvl w:val="0"/>
          <w:numId w:val="1015"/>
        </w:numPr>
      </w:pPr>
      <w:r>
        <w:rPr>
          <w:bCs/>
          <w:b/>
        </w:rPr>
        <w:t xml:space="preserve">Use of Sold Products (Category 11 - Use of Sold Products):</w:t>
      </w:r>
    </w:p>
    <w:p>
      <w:pPr>
        <w:numPr>
          <w:ilvl w:val="0"/>
          <w:numId w:val="1000"/>
        </w:numPr>
      </w:pPr>
      <w:r>
        <w:t xml:space="preserve">Emissions from energy consumption during the product\'s lifespan.</w:t>
      </w:r>
    </w:p>
    <w:p>
      <w:pPr>
        <w:numPr>
          <w:ilvl w:val="1"/>
          <w:numId w:val="1017"/>
        </w:numPr>
        <w:pStyle w:val="Compact"/>
      </w:pPr>
      <w:r>
        <w:rPr>
          <w:bCs/>
          <w:b/>
        </w:rPr>
        <w:t xml:space="preserve">Product Lifespan:</w:t>
      </w:r>
      <w:r>
        <w:t xml:space="preserve"> </w:t>
      </w:r>
      <w:r>
        <w:t xml:space="preserve">vpwgdpzojr</w:t>
      </w:r>
    </w:p>
    <w:p>
      <w:pPr>
        <w:numPr>
          <w:ilvl w:val="1"/>
          <w:numId w:val="1017"/>
        </w:numPr>
        <w:pStyle w:val="Compact"/>
      </w:pPr>
      <w:r>
        <w:rPr>
          <w:bCs/>
          <w:b/>
        </w:rPr>
        <w:t xml:space="preserve">Energy Consumption in Use:</w:t>
      </w:r>
      <w:r>
        <w:t xml:space="preserve"> </w:t>
      </w:r>
      <w:r>
        <w:t xml:space="preserve">esydmpdvdl</w:t>
      </w:r>
    </w:p>
    <w:p>
      <w:pPr>
        <w:numPr>
          <w:ilvl w:val="1"/>
          <w:numId w:val="1017"/>
        </w:numPr>
        <w:pStyle w:val="Compact"/>
      </w:pPr>
      <w:r>
        <w:rPr>
          <w:iCs/>
          <w:i/>
        </w:rPr>
        <w:t xml:space="preserve">Calculation:</w:t>
      </w:r>
      <w:r>
        <w:t xml:space="preserve"> </w:t>
      </w:r>
      <w:r>
        <w:t xml:space="preserve">Total energy consumption over the `vpwgdpzojr` lifespan (`esydmpdvdl` * `vpwgdpzojr`) is multiplied by the relevant electricity grid emission factor for the typical user location.</w:t>
      </w:r>
    </w:p>
    <w:p>
      <w:pPr>
        <w:numPr>
          <w:ilvl w:val="1"/>
          <w:numId w:val="1017"/>
        </w:numPr>
        <w:pStyle w:val="Compact"/>
      </w:pPr>
      <w:r>
        <w:rPr>
          <w:bCs/>
          <w:b/>
        </w:rPr>
        <w:t xml:space="preserve">Estimated Use Phase Emissions (Illustrative):</w:t>
      </w:r>
      <w:r>
        <w:t xml:space="preserve"> </w:t>
      </w:r>
      <w:r>
        <w:t xml:space="preserve">[Placeholder for calculated value, e.g., 30.0 kg CO2e/unit]</w:t>
      </w:r>
    </w:p>
    <w:p>
      <w:pPr>
        <w:numPr>
          <w:ilvl w:val="0"/>
          <w:numId w:val="1015"/>
        </w:numPr>
      </w:pPr>
      <w:r>
        <w:rPr>
          <w:bCs/>
          <w:b/>
        </w:rPr>
        <w:t xml:space="preserve">End-of-Life Treatment of Sold Products (Category 12 - End-of-Life Treatment of Sold Products):</w:t>
      </w:r>
    </w:p>
    <w:p>
      <w:pPr>
        <w:numPr>
          <w:ilvl w:val="0"/>
          <w:numId w:val="1000"/>
        </w:numPr>
      </w:pPr>
      <w:r>
        <w:t xml:space="preserve">Emissions and potential avoided emissions associated with the product\'s disposal and recycling.</w:t>
      </w:r>
    </w:p>
    <w:p>
      <w:pPr>
        <w:numPr>
          <w:ilvl w:val="1"/>
          <w:numId w:val="1018"/>
        </w:numPr>
        <w:pStyle w:val="Compact"/>
      </w:pPr>
      <w:r>
        <w:rPr>
          <w:bCs/>
          <w:b/>
        </w:rPr>
        <w:t xml:space="preserve">Recyclability Percentage:</w:t>
      </w:r>
      <w:r>
        <w:t xml:space="preserve"> </w:t>
      </w:r>
      <w:r>
        <w:t xml:space="preserve">jlfrukwtuj</w:t>
      </w:r>
    </w:p>
    <w:p>
      <w:pPr>
        <w:numPr>
          <w:ilvl w:val="1"/>
          <w:numId w:val="1018"/>
        </w:numPr>
        <w:pStyle w:val="Compact"/>
      </w:pPr>
      <w:r>
        <w:rPr>
          <w:bCs/>
          <w:b/>
        </w:rPr>
        <w:t xml:space="preserve">Circular/Take-back Programs:</w:t>
      </w:r>
      <w:r>
        <w:t xml:space="preserve"> </w:t>
      </w:r>
      <w:r>
        <w:t xml:space="preserve">unfjnqppmx</w:t>
      </w:r>
    </w:p>
    <w:p>
      <w:pPr>
        <w:numPr>
          <w:ilvl w:val="1"/>
          <w:numId w:val="1018"/>
        </w:numPr>
        <w:pStyle w:val="Compact"/>
      </w:pPr>
      <w:r>
        <w:rPr>
          <w:iCs/>
          <w:i/>
        </w:rPr>
        <w:t xml:space="preserve">Calculation:</w:t>
      </w:r>
      <w:r>
        <w:t xml:space="preserve"> </w:t>
      </w:r>
      <w:r>
        <w:t xml:space="preserve">Emissions from landfilling or incineration for non-recycled portions are calculated. Avoided emissions from recycling (e.g., virgin material substitution) and benefits from `unfjnqppmx` programs are also accounted for, potentially through a credit system.</w:t>
      </w:r>
    </w:p>
    <w:p>
      <w:pPr>
        <w:numPr>
          <w:ilvl w:val="1"/>
          <w:numId w:val="1018"/>
        </w:numPr>
        <w:pStyle w:val="Compact"/>
      </w:pPr>
      <w:r>
        <w:rPr>
          <w:bCs/>
          <w:b/>
        </w:rPr>
        <w:t xml:space="preserve">Estimated End-of-Life Emissions (Illustrative):</w:t>
      </w:r>
      <w:r>
        <w:t xml:space="preserve"> </w:t>
      </w:r>
      <w:r>
        <w:t xml:space="preserve">[Placeholder for calculated value, e.g., 4.0 kg CO2e/unit (net of credits)]</w:t>
      </w:r>
    </w:p>
    <w:bookmarkEnd w:id="35"/>
    <w:bookmarkEnd w:id="36"/>
    <w:bookmarkStart w:id="37" w:name="application-of-2026-lsr-standard"/>
    <w:p>
      <w:pPr>
        <w:pStyle w:val="Heading3"/>
      </w:pPr>
      <w:r>
        <w:t xml:space="preserve">5.4. Application of 2026 LSR Standard</w:t>
      </w:r>
    </w:p>
    <w:p>
      <w:pPr>
        <w:pStyle w:val="FirstParagraph"/>
      </w:pPr>
      <w:r>
        <w:t xml:space="preserve">The Land Sector and Removals (LSR) Standard, effective from January 1, 2027, provides requirements and guidance for companies to quantify, report, and track land emissions and CO2 removals. This includes land management, land use change, and biogenic products. While not explicitly detailed in the provided parameters, a complete analysis adhering to the 2026 LSR Standard would integrate any relevant land-use change emissions (e.g., from raw material sourcing) or carbon sequestration/removals associated with biogenic materials or carbon capture technologies within the product\'s lifecycle. For kwssrtrwxu, if biogenic materials are part of `mrzefivs`, their associated land use and potential removals would be quantified according to this standard.</w:t>
      </w:r>
    </w:p>
    <w:p>
      <w:pPr>
        <w:numPr>
          <w:ilvl w:val="0"/>
          <w:numId w:val="1019"/>
        </w:numPr>
        <w:pStyle w:val="Compact"/>
      </w:pPr>
      <w:r>
        <w:rPr>
          <w:bCs/>
          <w:b/>
        </w:rPr>
        <w:t xml:space="preserve">Estimated LSR Emissions/Removals (Illustrative):</w:t>
      </w:r>
      <w:r>
        <w:t xml:space="preserve"> </w:t>
      </w:r>
      <w:r>
        <w:t xml:space="preserve">[Placeholder for calculated value, e.g., 0.0 kg CO2e/unit (or negative for removals)]</w:t>
      </w:r>
    </w:p>
    <w:p>
      <w:r>
        <w:pict>
          <v:rect style="width:0;height:1.5pt" o:hralign="center" o:hrstd="t" o:hr="t"/>
        </w:pict>
      </w:r>
    </w:p>
    <w:bookmarkEnd w:id="37"/>
    <w:bookmarkEnd w:id="38"/>
    <w:bookmarkStart w:id="41" w:name="results-and-hotspot-analysis"/>
    <w:p>
      <w:pPr>
        <w:pStyle w:val="Heading2"/>
      </w:pPr>
      <w:r>
        <w:t xml:space="preserve">6. Results and Hotspot Analysis</w:t>
      </w:r>
    </w:p>
    <w:p>
      <w:pPr>
        <w:pStyle w:val="FirstParagraph"/>
      </w:pPr>
      <w:r>
        <w:t xml:space="preserve">Based on the detailed data collection and emission calculations, the total Product Carbon Footprint for one functional unit of kwssrtrwxu is determined, along with a breakdown by lifecycle stage and GHG Protocol scope.</w:t>
      </w:r>
    </w:p>
    <w:bookmarkStart w:id="39" w:name="summary-pcf-illustrative"/>
    <w:p>
      <w:pPr>
        <w:pStyle w:val="Heading3"/>
      </w:pPr>
      <w:r>
        <w:t xml:space="preserve">Summary PCF (Illustrative)</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Estimated CO2e (kg/unit)</w:t>
            </w:r>
          </w:p>
        </w:tc>
        <w:tc>
          <w:tcPr/>
          <w:p>
            <w:pPr>
              <w:pStyle w:val="Compact"/>
              <w:jc w:val="left"/>
            </w:pPr>
            <w:r>
              <w:t xml:space="preserve">GHG Scope(s)</w:t>
            </w:r>
          </w:p>
        </w:tc>
      </w:tr>
      <w:tr>
        <w:tc>
          <w:tcPr/>
          <w:p>
            <w:pPr>
              <w:pStyle w:val="Compact"/>
              <w:jc w:val="left"/>
            </w:pPr>
            <w:r>
              <w:t xml:space="preserve">Materials &amp; Manufacturing (Upstream)</w:t>
            </w:r>
          </w:p>
        </w:tc>
        <w:tc>
          <w:tcPr/>
          <w:p>
            <w:pPr>
              <w:pStyle w:val="Compact"/>
              <w:jc w:val="left"/>
            </w:pPr>
            <w:r>
              <w:t xml:space="preserve">101.1 (from BOM illustrative)</w:t>
            </w:r>
          </w:p>
        </w:tc>
        <w:tc>
          <w:tcPr/>
          <w:p>
            <w:pPr>
              <w:pStyle w:val="Compact"/>
              <w:jc w:val="left"/>
            </w:pPr>
            <w:r>
              <w:t xml:space="preserve">Scope 3 (Category 1)</w:t>
            </w:r>
          </w:p>
        </w:tc>
      </w:tr>
      <w:tr>
        <w:tc>
          <w:tcPr/>
          <w:p>
            <w:pPr>
              <w:pStyle w:val="Compact"/>
              <w:jc w:val="left"/>
            </w:pPr>
            <w:r>
              <w:t xml:space="preserve">Production (Direct &amp; Energy)</w:t>
            </w:r>
          </w:p>
        </w:tc>
        <w:tc>
          <w:tcPr/>
          <w:p>
            <w:pPr>
              <w:pStyle w:val="Compact"/>
              <w:jc w:val="left"/>
            </w:pPr>
            <w:r>
              <w:t xml:space="preserve">15.5 (Scope 1 &amp; 2 illustrative)</w:t>
            </w:r>
          </w:p>
        </w:tc>
        <w:tc>
          <w:tcPr/>
          <w:p>
            <w:pPr>
              <w:pStyle w:val="Compact"/>
              <w:jc w:val="left"/>
            </w:pPr>
            <w:r>
              <w:t xml:space="preserve">Scope 1 &amp; Scope 2</w:t>
            </w:r>
          </w:p>
        </w:tc>
      </w:tr>
      <w:tr>
        <w:tc>
          <w:tcPr/>
          <w:p>
            <w:pPr>
              <w:pStyle w:val="Compact"/>
              <w:jc w:val="left"/>
            </w:pPr>
            <w:r>
              <w:t xml:space="preserve">Logistics (Upstream &amp; Downstream)</w:t>
            </w:r>
          </w:p>
        </w:tc>
        <w:tc>
          <w:tcPr/>
          <w:p>
            <w:pPr>
              <w:pStyle w:val="Compact"/>
              <w:jc w:val="left"/>
            </w:pPr>
            <w:r>
              <w:t xml:space="preserve">7.5 (Scope 3 illustrative)</w:t>
            </w:r>
          </w:p>
        </w:tc>
        <w:tc>
          <w:tcPr/>
          <w:p>
            <w:pPr>
              <w:pStyle w:val="Compact"/>
              <w:jc w:val="left"/>
            </w:pPr>
            <w:r>
              <w:t xml:space="preserve">Scope 3 (Category 4)</w:t>
            </w:r>
          </w:p>
        </w:tc>
      </w:tr>
      <w:tr>
        <w:tc>
          <w:tcPr/>
          <w:p>
            <w:pPr>
              <w:pStyle w:val="Compact"/>
              <w:jc w:val="left"/>
            </w:pPr>
            <w:r>
              <w:t xml:space="preserve">Use Phase</w:t>
            </w:r>
          </w:p>
        </w:tc>
        <w:tc>
          <w:tcPr/>
          <w:p>
            <w:pPr>
              <w:pStyle w:val="Compact"/>
              <w:jc w:val="left"/>
            </w:pPr>
            <w:r>
              <w:t xml:space="preserve">30.0 (Scope 3 illustrative)</w:t>
            </w:r>
          </w:p>
        </w:tc>
        <w:tc>
          <w:tcPr/>
          <w:p>
            <w:pPr>
              <w:pStyle w:val="Compact"/>
              <w:jc w:val="left"/>
            </w:pPr>
            <w:r>
              <w:t xml:space="preserve">Scope 3 (Category 11)</w:t>
            </w:r>
          </w:p>
        </w:tc>
      </w:tr>
      <w:tr>
        <w:tc>
          <w:tcPr/>
          <w:p>
            <w:pPr>
              <w:pStyle w:val="Compact"/>
              <w:jc w:val="left"/>
            </w:pPr>
            <w:r>
              <w:t xml:space="preserve">End-of-Life</w:t>
            </w:r>
          </w:p>
        </w:tc>
        <w:tc>
          <w:tcPr/>
          <w:p>
            <w:pPr>
              <w:pStyle w:val="Compact"/>
              <w:jc w:val="left"/>
            </w:pPr>
            <w:r>
              <w:t xml:space="preserve">4.0 (Scope 3 illustrative)</w:t>
            </w:r>
          </w:p>
        </w:tc>
        <w:tc>
          <w:tcPr/>
          <w:p>
            <w:pPr>
              <w:pStyle w:val="Compact"/>
              <w:jc w:val="left"/>
            </w:pPr>
            <w:r>
              <w:t xml:space="preserve">Scope 3 (Category 12)</w:t>
            </w:r>
          </w:p>
        </w:tc>
      </w:tr>
      <w:tr>
        <w:tc>
          <w:tcPr/>
          <w:p>
            <w:pPr>
              <w:pStyle w:val="Compact"/>
              <w:jc w:val="left"/>
            </w:pPr>
            <w:r>
              <w:t xml:space="preserve">Land Sector &amp; Removals</w:t>
            </w:r>
          </w:p>
        </w:tc>
        <w:tc>
          <w:tcPr/>
          <w:p>
            <w:pPr>
              <w:pStyle w:val="Compact"/>
              <w:jc w:val="left"/>
            </w:pPr>
            <w:r>
              <w:t xml:space="preserve">0.0 (Illustrative)</w:t>
            </w:r>
          </w:p>
        </w:tc>
        <w:tc>
          <w:tcPr/>
          <w:p>
            <w:pPr>
              <w:pStyle w:val="Compact"/>
              <w:jc w:val="left"/>
            </w:pPr>
            <w:r>
              <w:t xml:space="preserve">LSR</w:t>
            </w:r>
          </w:p>
        </w:tc>
      </w:tr>
      <w:tr>
        <w:tc>
          <w:tcPr/>
          <w:p>
            <w:pPr>
              <w:pStyle w:val="Compact"/>
              <w:jc w:val="right"/>
            </w:pPr>
            <w:r>
              <w:t xml:space="preserve">TOTAL PRODUCT CARBON FOOTPRINT (Illustrative):</w:t>
            </w:r>
          </w:p>
        </w:tc>
        <w:tc>
          <w:tcPr>
            <w:gridSpan w:val="2"/>
          </w:tcPr>
          <w:p>
            <w:pPr>
              <w:pStyle w:val="Compact"/>
              <w:jc w:val="left"/>
            </w:pPr>
            <w:r>
              <w:t xml:space="preserve">~158.1 kg CO2e / unit</w:t>
            </w:r>
          </w:p>
        </w:tc>
      </w:tr>
    </w:tbl>
    <w:bookmarkEnd w:id="39"/>
    <w:bookmarkStart w:id="40" w:name="hotspot-identification-illustrative"/>
    <w:p>
      <w:pPr>
        <w:pStyle w:val="Heading3"/>
      </w:pPr>
      <w:r>
        <w:t xml:space="preserve">Hotspot Identification (Illustrative)</w:t>
      </w:r>
    </w:p>
    <w:p>
      <w:pPr>
        <w:pStyle w:val="FirstParagraph"/>
      </w:pPr>
      <w:r>
        <w:t xml:space="preserve">Based on the illustrative calculations, the primary carbon hotspots for kwssrtrwxu are:</w:t>
      </w:r>
    </w:p>
    <w:p>
      <w:pPr>
        <w:numPr>
          <w:ilvl w:val="0"/>
          <w:numId w:val="1020"/>
        </w:numPr>
        <w:pStyle w:val="Compact"/>
      </w:pPr>
      <w:r>
        <w:rPr>
          <w:bCs/>
          <w:b/>
        </w:rPr>
        <w:t xml:space="preserve">Materials &amp; Manufacturing (Upstream Scope 3):</w:t>
      </w:r>
      <w:r>
        <w:t xml:space="preserve"> </w:t>
      </w:r>
      <w:r>
        <w:t xml:space="preserve">Representing the largest share (~64% of illustrative total), the production of raw materials and components, as detailed in `mrzefivs`, is the most significant contributor. Focus areas would be optimizing material selection, engaging with suppliers on low-carbon alternatives, and increasing recycled content.</w:t>
      </w:r>
    </w:p>
    <w:p>
      <w:pPr>
        <w:numPr>
          <w:ilvl w:val="0"/>
          <w:numId w:val="1020"/>
        </w:numPr>
        <w:pStyle w:val="Compact"/>
      </w:pPr>
      <w:r>
        <w:rPr>
          <w:bCs/>
          <w:b/>
        </w:rPr>
        <w:t xml:space="preserve">Use Phase (Downstream Scope 3):</w:t>
      </w:r>
      <w:r>
        <w:t xml:space="preserve"> </w:t>
      </w:r>
      <w:r>
        <w:t xml:space="preserve">Energy consumption during the product\'s lifespan (~19% of illustrative total) is the second major hotspot. Strategies here involve improving energy efficiency of the product and promoting renewable energy use by consumers.</w:t>
      </w:r>
    </w:p>
    <w:p>
      <w:pPr>
        <w:numPr>
          <w:ilvl w:val="0"/>
          <w:numId w:val="1020"/>
        </w:numPr>
        <w:pStyle w:val="Compact"/>
      </w:pPr>
      <w:r>
        <w:rPr>
          <w:bCs/>
          <w:b/>
        </w:rPr>
        <w:t xml:space="preserve">Production (Scope 1 &amp; 2):</w:t>
      </w:r>
      <w:r>
        <w:t xml:space="preserve"> </w:t>
      </w:r>
      <w:r>
        <w:t xml:space="preserve">While smaller, direct emissions and purchased electricity for manufacturing (~10% of illustrative total) remain important. Initiatives like increasing on-site renewable energy generation or procuring certified green electricity in China could mitigate these.</w:t>
      </w:r>
    </w:p>
    <w:p>
      <w:r>
        <w:pict>
          <v:rect style="width:0;height:1.5pt" o:hralign="center" o:hrstd="t" o:hr="t"/>
        </w:pict>
      </w:r>
    </w:p>
    <w:bookmarkEnd w:id="40"/>
    <w:bookmarkEnd w:id="41"/>
    <w:bookmarkStart w:id="43" w:name="recommendations-conclusion"/>
    <w:p>
      <w:pPr>
        <w:pStyle w:val="Heading2"/>
      </w:pPr>
      <w:r>
        <w:t xml:space="preserve">7. Recommendations &amp; Conclusion</w:t>
      </w:r>
    </w:p>
    <w:p>
      <w:pPr>
        <w:pStyle w:val="FirstParagraph"/>
      </w:pPr>
      <w:r>
        <w:t xml:space="preserve">The PCF analysis of kwssrtrwxu provides critical insights into its environmental impact, highlighting areas where xrozmrjzes can focus its efforts to reduce its carbon footprint. The commitment to GHG Protocol, including 2026 LSR and 95% Scope 3 coverage, demonstrates a robust approach to sustainability.</w:t>
      </w:r>
    </w:p>
    <w:bookmarkStart w:id="42" w:name="recommendations-for-xrozmrjzes"/>
    <w:p>
      <w:pPr>
        <w:pStyle w:val="Heading3"/>
      </w:pPr>
      <w:r>
        <w:t xml:space="preserve">Recommendations for xrozmrjzes:</w:t>
      </w:r>
    </w:p>
    <w:p>
      <w:pPr>
        <w:numPr>
          <w:ilvl w:val="0"/>
          <w:numId w:val="1021"/>
        </w:numPr>
        <w:pStyle w:val="Compact"/>
      </w:pPr>
      <w:r>
        <w:rPr>
          <w:bCs/>
          <w:b/>
        </w:rPr>
        <w:t xml:space="preserve">Material Optimization:</w:t>
      </w:r>
      <w:r>
        <w:t xml:space="preserve"> </w:t>
      </w:r>
      <w:r>
        <w:t xml:space="preserve">Conduct a deeper dive into the `mrzefivs` BOM to identify high-impact materials and explore substitutes with lower embodied carbon. Collaborate with suppliers to source materials produced with renewable energy or higher recycled content.</w:t>
      </w:r>
    </w:p>
    <w:p>
      <w:pPr>
        <w:numPr>
          <w:ilvl w:val="0"/>
          <w:numId w:val="1021"/>
        </w:numPr>
        <w:pStyle w:val="Compact"/>
      </w:pPr>
      <w:r>
        <w:rPr>
          <w:bCs/>
          <w:b/>
        </w:rPr>
        <w:t xml:space="preserve">Energy Efficiency in Production:</w:t>
      </w:r>
      <w:r>
        <w:t xml:space="preserve"> </w:t>
      </w:r>
      <w:r>
        <w:t xml:space="preserve">Investigate opportunities to further reduce energy intensity (`jomlermwvw`) in the China production facility, beyond existing renewable energy usage (`ughdjugppu`).</w:t>
      </w:r>
    </w:p>
    <w:p>
      <w:pPr>
        <w:numPr>
          <w:ilvl w:val="0"/>
          <w:numId w:val="1021"/>
        </w:numPr>
        <w:pStyle w:val="Compact"/>
      </w:pPr>
      <w:r>
        <w:rPr>
          <w:bCs/>
          <w:b/>
        </w:rPr>
        <w:t xml:space="preserve">Logistics Streamlining:</w:t>
      </w:r>
      <w:r>
        <w:t xml:space="preserve"> </w:t>
      </w:r>
      <w:r>
        <w:t xml:space="preserve">Evaluate alternative transport modes (`Select Mode`) and optimize routes to reduce emissions associated with `ihxhvspmme` distance and `Delivery Type` for last-mile delivery.</w:t>
      </w:r>
    </w:p>
    <w:p>
      <w:pPr>
        <w:numPr>
          <w:ilvl w:val="0"/>
          <w:numId w:val="1021"/>
        </w:numPr>
        <w:pStyle w:val="Compact"/>
      </w:pPr>
      <w:r>
        <w:rPr>
          <w:bCs/>
          <w:b/>
        </w:rPr>
        <w:t xml:space="preserve">Product Design for Use Phase:</w:t>
      </w:r>
      <w:r>
        <w:t xml:space="preserve"> </w:t>
      </w:r>
      <w:r>
        <w:t xml:space="preserve">Redesign kwssrtrwxu to minimize `esydmpdvdl` (energy consumption in use) and potentially extend `vpwgdpzojr` (product lifespan) through modularity or improved durability.</w:t>
      </w:r>
    </w:p>
    <w:p>
      <w:pPr>
        <w:numPr>
          <w:ilvl w:val="0"/>
          <w:numId w:val="1021"/>
        </w:numPr>
        <w:pStyle w:val="Compact"/>
      </w:pPr>
      <w:r>
        <w:rPr>
          <w:bCs/>
          <w:b/>
        </w:rPr>
        <w:t xml:space="preserve">Enhance Circularity:</w:t>
      </w:r>
      <w:r>
        <w:t xml:space="preserve"> </w:t>
      </w:r>
      <w:r>
        <w:t xml:space="preserve">Leverage the `jlfrukwtuj` recyclability percentage and expand `unfjnqppmx` circular/take-back programs to maximize material recovery and minimize end-of-life emissions.</w:t>
      </w:r>
    </w:p>
    <w:p>
      <w:pPr>
        <w:numPr>
          <w:ilvl w:val="0"/>
          <w:numId w:val="1021"/>
        </w:numPr>
        <w:pStyle w:val="Compact"/>
      </w:pPr>
      <w:r>
        <w:rPr>
          <w:bCs/>
          <w:b/>
        </w:rPr>
        <w:t xml:space="preserve">Supplier Engagement:</w:t>
      </w:r>
      <w:r>
        <w:t xml:space="preserve"> </w:t>
      </w:r>
      <w:r>
        <w:t xml:space="preserve">Work closely with upstream European suppliers to gather primary data and encourage their own decarbonization efforts, crucial for robust Scope 3 reporting.</w:t>
      </w:r>
    </w:p>
    <w:p>
      <w:pPr>
        <w:pStyle w:val="FirstParagraph"/>
      </w:pPr>
      <w:r>
        <w:t xml:space="preserve">In conclusion, this detailed PCF report for kwssrtrwxu offers a foundational understanding of its carbon impact. By systematically addressing the identified hotspots and implementing the recommended strategies, xrozmrjzes can significantly reduce its environmental footprint, enhance its sustainability credentials, and contribute to global climate goals.</w:t>
      </w:r>
    </w:p>
    <w:p>
      <w:r>
        <w:pict>
          <v:rect style="width:0;height:1.5pt" o:hralign="center" o:hrstd="t" o:hr="t"/>
        </w:pict>
      </w:r>
    </w:p>
    <w:p>
      <w:pPr>
        <w:pStyle w:val="FirstParagraph"/>
      </w:pPr>
      <w:r>
        <w:t xml:space="preserve">Confidential - Internal Use Only</w:t>
      </w:r>
    </w:p>
    <w:bookmarkEnd w:id="42"/>
    <w:bookmarkEnd w:id="4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kwssrtrwxu</dc:title>
  <dc:creator/>
  <dc:description>High-detail Product Carbon Footprint (PCF) analysis for kwssrtrwxu, conducted by dmyrjnksjy for xrozmrjzes, adhering to GHG Protocol standards and incorporating 2026 LSR updates and Scope 3 compliance.</dc:description>
  <dc:language>en</dc:language>
  <cp:keywords/>
  <dcterms:created xsi:type="dcterms:W3CDTF">2026-07-15T05:35:11Z</dcterms:created>
  <dcterms:modified xsi:type="dcterms:W3CDTF">2026-07-15T05:35:11Z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