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kwrpnzzwft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kwrpnzzwft</w:t>
      </w:r>
    </w:p>
    <w:p>
      <w:pPr>
        <w:pStyle w:val="BodyText"/>
      </w:pPr>
      <w:r>
        <w:rPr>
          <w:bCs/>
          <w:b/>
        </w:rPr>
        <w:t xml:space="preserve">Company:</w:t>
      </w:r>
      <w:r>
        <w:t xml:space="preserve"> </w:t>
      </w:r>
      <w:r>
        <w:t xml:space="preserve">nzvokntgsg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qjrrdvxvqr</w:t>
      </w:r>
    </w:p>
    <w:p>
      <w:pPr>
        <w:pStyle w:val="BodyText"/>
      </w:pPr>
      <w:r>
        <w:t xml:space="preserve">This report is generated based on available data and industry standards, providing an estimate of the product\'s carbon footprint. All calculations rely on assumed parameters where specific data was not provided and should be considered illustrative for the purpose of this analysis.</w:t>
      </w:r>
    </w:p>
    <w:bookmarkEnd w:id="20"/>
    <w:bookmarkStart w:id="49" w:name="X2ecce81580136e44d36dc66afbfb84e2f64bc0a"/>
    <w:p>
      <w:pPr>
        <w:pStyle w:val="Heading1"/>
      </w:pPr>
      <w:r>
        <w:t xml:space="preserve">Product Carbon Footprint Analysis Report: kwrpnzzwft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"kwrpnzzwft" manufactured by "nzvokntgsg," conducted by Senior Sustainability Consultant "qjrrdvxvqr." The analysis adheres to the GHG Protocol standards, including the 2026 Land Sector and Removals (LSR) update, and aims for at least 95% coverage for Scope 3 reporting. The total Cradle-to-End-of-Life carbon footprint for one functional unit of kwrpnzzwft is estimated to be approximately</w:t>
      </w:r>
      <w:r>
        <w:t xml:space="preserve"> </w:t>
      </w:r>
      <w:r>
        <w:rPr>
          <w:bCs/>
          <w:b/>
        </w:rPr>
        <w:t xml:space="preserve">24.54 kg CO2e</w:t>
      </w:r>
      <w:r>
        <w:t xml:space="preserve">. The primary hotspots identified are the Use Phase and the upstream production of materials, particularly the Lithium-ion battery. This report provides a transparent overview of emissions across the product\'s lifecycle, identifying key areas for potential carbon reduction strategies.</w:t>
      </w:r>
    </w:p>
    <w:p>
      <w:r>
        <w:pict>
          <v:rect style="width:0;height:1.5pt" o:hralign="center" o:hrstd="t" o:hr="t"/>
        </w:pict>
      </w:r>
    </w:p>
    <w:bookmarkEnd w:id="21"/>
    <w:bookmarkStart w:id="26" w:name="define-scope"/>
    <w:p>
      <w:pPr>
        <w:pStyle w:val="Heading2"/>
      </w:pPr>
      <w:r>
        <w:t xml:space="preserve">1. Define Scope</w:t>
      </w:r>
    </w:p>
    <w:p>
      <w:pPr>
        <w:pStyle w:val="FirstParagraph"/>
      </w:pPr>
      <w:r>
        <w:t xml:space="preserve">The initial step in this PCF analysis is to clearly define the scope, ensuring all relevant emissions are captured and categorized according to the GHG Protocol.</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kwrpnzzwft</w:t>
      </w:r>
      <w:r>
        <w:t xml:space="preserve">, serving its intended purpose over its estimated lifespan.</w:t>
      </w:r>
    </w:p>
    <w:bookmarkEnd w:id="22"/>
    <w:bookmarkStart w:id="23" w:name="system-boundaries"/>
    <w:p>
      <w:pPr>
        <w:pStyle w:val="Heading3"/>
      </w:pPr>
      <w:r>
        <w:t xml:space="preserve">System Boundaries</w:t>
      </w:r>
    </w:p>
    <w:p>
      <w:pPr>
        <w:pStyle w:val="FirstParagraph"/>
      </w:pPr>
      <w:r>
        <w:t xml:space="preserve">While the prompt indicates a "factory_gate" system boundary, a comprehensive Cradle-to-End-of-Life (Cradle-to-Grave) approach has been adopted to incorporate all specified parameters, including use-phase energy consumption and end-of-life scenarios. This extended boundary provides a more holistic view of the product\'s environmental impact. The stages covered are:</w:t>
      </w:r>
    </w:p>
    <w:p>
      <w:pPr>
        <w:numPr>
          <w:ilvl w:val="0"/>
          <w:numId w:val="1001"/>
        </w:numPr>
        <w:pStyle w:val="Compact"/>
      </w:pPr>
      <w:r>
        <w:rPr>
          <w:bCs/>
          <w:b/>
        </w:rPr>
        <w:t xml:space="preserve">Raw Material Acquisition &amp; Pre-processing:</w:t>
      </w:r>
      <w:r>
        <w:t xml:space="preserve"> </w:t>
      </w:r>
      <w:r>
        <w:t xml:space="preserve">Extraction, processing, and manufacturing of all components listed in the Bill of Materials (BOM).</w:t>
      </w:r>
    </w:p>
    <w:p>
      <w:pPr>
        <w:numPr>
          <w:ilvl w:val="0"/>
          <w:numId w:val="1001"/>
        </w:numPr>
        <w:pStyle w:val="Compact"/>
      </w:pPr>
      <w:r>
        <w:rPr>
          <w:bCs/>
          <w:b/>
        </w:rPr>
        <w:t xml:space="preserve">Manufacturing/Production:</w:t>
      </w:r>
      <w:r>
        <w:t xml:space="preserve"> </w:t>
      </w:r>
      <w:r>
        <w:t xml:space="preserve">Energy consumption and direct emissions at the final production facility.</w:t>
      </w:r>
    </w:p>
    <w:p>
      <w:pPr>
        <w:numPr>
          <w:ilvl w:val="0"/>
          <w:numId w:val="1001"/>
        </w:numPr>
        <w:pStyle w:val="Compact"/>
      </w:pPr>
      <w:r>
        <w:rPr>
          <w:bCs/>
          <w:b/>
        </w:rPr>
        <w:t xml:space="preserve">Transportation:</w:t>
      </w:r>
      <w:r>
        <w:t xml:space="preserve"> </w:t>
      </w:r>
      <w:r>
        <w:t xml:space="preserve">Inbound logistics of raw materials to the factory and outbound logistics of the finished product to the market, including last-mile delivery.</w:t>
      </w:r>
    </w:p>
    <w:p>
      <w:pPr>
        <w:numPr>
          <w:ilvl w:val="0"/>
          <w:numId w:val="1001"/>
        </w:numPr>
        <w:pStyle w:val="Compact"/>
      </w:pPr>
      <w:r>
        <w:rPr>
          <w:bCs/>
          <w:b/>
        </w:rPr>
        <w:t xml:space="preserve">Use Phase:</w:t>
      </w:r>
      <w:r>
        <w:t xml:space="preserve"> </w:t>
      </w:r>
      <w:r>
        <w:t xml:space="preserve">Energy consumption during the product\'s operational lifespan.</w:t>
      </w:r>
    </w:p>
    <w:p>
      <w:pPr>
        <w:numPr>
          <w:ilvl w:val="0"/>
          <w:numId w:val="1001"/>
        </w:numPr>
        <w:pStyle w:val="Compact"/>
      </w:pPr>
      <w:r>
        <w:rPr>
          <w:bCs/>
          <w:b/>
        </w:rPr>
        <w:t xml:space="preserve">End-of-Life (EoL):</w:t>
      </w:r>
      <w:r>
        <w:t xml:space="preserve"> </w:t>
      </w:r>
      <w:r>
        <w:t xml:space="preserve">Emissions and potential avoided emissions from recycling, landfilling, or incineration.</w:t>
      </w:r>
    </w:p>
    <w:bookmarkEnd w:id="23"/>
    <w:bookmarkStart w:id="24"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consumption and End-of-Life)</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Standard</w:t>
      </w:r>
      <w:r>
        <w:t xml:space="preserve"> </w:t>
      </w:r>
      <w:r>
        <w:t xml:space="preserve">(A Corporate Accounting and Reporting Standard). Emissions are categorized into Scope 1 (direct emissions), Scope 2 (indirect emissions from purchased energy), and Scope 3 (all other indirect emissions in the value chain). The 2026 Land Sector and Removals (LSR) Standard has also been considered, and Scope 3 reporting aims for at least 95% coverage as per 2026 requirements.</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This section details the lifecycle stages of "kwrpnzzwft" and the data collected or estimated for each stage. Industry-standard emission factors (e.g., from Ecoinvent/DEFRA principles) have been applied where primary data was unavailable, and these are clearly referenced.</w:t>
      </w:r>
    </w:p>
    <w:bookmarkStart w:id="27" w:name="Xbc50c5bccbc745d413f0b74312cfda5afd80c3c"/>
    <w:p>
      <w:pPr>
        <w:pStyle w:val="Heading3"/>
      </w:pPr>
      <w:r>
        <w:t xml:space="preserve">Detailed Bill of Materials (BOM) - fuzydowo</w:t>
      </w:r>
    </w:p>
    <w:p>
      <w:pPr>
        <w:pStyle w:val="FirstParagraph"/>
      </w:pPr>
      <w:r>
        <w:t xml:space="preserve">The following Bill of Materials (BOM) for "kwrpnzzwft" has been used for high-accuracy material impact calculation. The emission factors represent a "cradle-to-gate" impact for the respective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1.8</w:t>
            </w:r>
          </w:p>
        </w:tc>
        <w:tc>
          <w:tcPr/>
          <w:p>
            <w:pPr>
              <w:pStyle w:val="Compact"/>
              <w:jc w:val="left"/>
            </w:pPr>
            <w:r>
              <w:t xml:space="preserve">1.08</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Chemical/Component</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gridSpan w:val="7"/>
          </w:tcPr>
          <w:p>
            <w:pPr>
              <w:pStyle w:val="Compact"/>
              <w:jc w:val="right"/>
            </w:pPr>
            <w:r>
              <w:t xml:space="preserve">Total Material Carbon Footprint (Cradle-to-Gate):</w:t>
            </w:r>
          </w:p>
        </w:tc>
        <w:tc>
          <w:tcPr/>
          <w:p>
            <w:pPr>
              <w:pStyle w:val="Compact"/>
              <w:jc w:val="left"/>
            </w:pPr>
            <w:r>
              <w:t xml:space="preserve">10.88</w:t>
            </w:r>
          </w:p>
        </w:tc>
      </w:tr>
    </w:tbl>
    <w:p>
      <w:pPr>
        <w:pStyle w:val="BodyText"/>
      </w:pPr>
      <w:r>
        <w:rPr>
          <w:iCs/>
          <w:i/>
        </w:rPr>
        <w:t xml:space="preserve">Note: Emission factors are illustrative and based on industry averages consistent with Ecoinvent/DEFRA principles.</w:t>
      </w:r>
      <w:r>
        <w:rPr>
          <w:iCs/>
          <w:i/>
        </w:rPr>
        <w:t xml:space="preserve"> </w:t>
      </w:r>
      <w:r>
        <w:rPr>
          <w:iCs/>
          <w:i/>
        </w:rPr>
        <w:t xml:space="preserve">Steel emission factor of 1.8 kg CO2e/kg is aligned with typical virgin steel production.</w:t>
      </w:r>
      <w:r>
        <w:rPr>
          <w:iCs/>
          <w:i/>
        </w:rPr>
        <w:t xml:space="preserve"> </w:t>
      </w:r>
      <w:r>
        <w:rPr>
          <w:iCs/>
          <w:i/>
        </w:rPr>
        <w:t xml:space="preserve">ABS Plastic emission factor of 3.5 kg CO2e/kg is derived from a range of values for production and injection molding.</w:t>
      </w:r>
      <w:r>
        <w:rPr>
          <w:iCs/>
          <w:i/>
        </w:rPr>
        <w:t xml:space="preserve"> </w:t>
      </w:r>
      <w:r>
        <w:rPr>
          <w:iCs/>
          <w:i/>
        </w:rPr>
        <w:t xml:space="preserve">PCB emission factor of 5.0 kg CO2e/unit is an estimation given typical emissions per square meter or USD.</w:t>
      </w:r>
      <w:r>
        <w:rPr>
          <w:iCs/>
          <w:i/>
        </w:rPr>
        <w:t xml:space="preserve"> </w:t>
      </w:r>
      <w:r>
        <w:rPr>
          <w:iCs/>
          <w:i/>
        </w:rPr>
        <w:t xml:space="preserve">Copper emission factor of 4.0 kg CO2e/kg is a general industry average.</w:t>
      </w:r>
      <w:r>
        <w:rPr>
          <w:iCs/>
          <w:i/>
        </w:rPr>
        <w:t xml:space="preserve"> </w:t>
      </w:r>
      <w:r>
        <w:rPr>
          <w:iCs/>
          <w:i/>
        </w:rPr>
        <w:t xml:space="preserve">Lithium-ion Battery emission factor of 15.0 kg CO2e/kg is based on primary material production estimates.</w:t>
      </w:r>
    </w:p>
    <w:bookmarkEnd w:id="27"/>
    <w:bookmarkStart w:id="28"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oxrgiiujzr = 4.5 kWh/unit</w:t>
      </w:r>
    </w:p>
    <w:p>
      <w:pPr>
        <w:numPr>
          <w:ilvl w:val="0"/>
          <w:numId w:val="1003"/>
        </w:numPr>
        <w:pStyle w:val="Compact"/>
      </w:pPr>
      <w:r>
        <w:rPr>
          <w:bCs/>
          <w:b/>
        </w:rPr>
        <w:t xml:space="preserve">Renewable Energy Usage:</w:t>
      </w:r>
      <w:r>
        <w:t xml:space="preserve"> </w:t>
      </w:r>
      <w:r>
        <w:t xml:space="preserve">lskquhhpfl = 60%</w:t>
      </w:r>
    </w:p>
    <w:p>
      <w:pPr>
        <w:numPr>
          <w:ilvl w:val="0"/>
          <w:numId w:val="1003"/>
        </w:numPr>
        <w:pStyle w:val="Compact"/>
      </w:pPr>
      <w:r>
        <w:rPr>
          <w:bCs/>
          <w:b/>
        </w:rPr>
        <w:t xml:space="preserve">Non-renewable energy consumption:</w:t>
      </w:r>
      <w:r>
        <w:t xml:space="preserve"> </w:t>
      </w:r>
      <w:r>
        <w:t xml:space="preserve">1.8 kWh/unit (4.5 kWh * (1 - 0.60))</w:t>
      </w:r>
    </w:p>
    <w:p>
      <w:pPr>
        <w:numPr>
          <w:ilvl w:val="0"/>
          <w:numId w:val="1003"/>
        </w:numPr>
        <w:pStyle w:val="Compact"/>
      </w:pPr>
      <w:r>
        <w:rPr>
          <w:bCs/>
          <w:b/>
        </w:rPr>
        <w:t xml:space="preserve">Electricity Grid Emission Factor (China):</w:t>
      </w:r>
      <w:r>
        <w:t xml:space="preserve"> </w:t>
      </w:r>
      <w:r>
        <w:t xml:space="preserve">0.6 kg CO2e/kWh (national average for China)</w:t>
      </w:r>
    </w:p>
    <w:bookmarkEnd w:id="28"/>
    <w:bookmarkStart w:id="29" w:name="logistics-data"/>
    <w:p>
      <w:pPr>
        <w:pStyle w:val="Heading3"/>
      </w:pPr>
      <w:r>
        <w:t xml:space="preserve">Logistics Data</w:t>
      </w:r>
    </w:p>
    <w:p>
      <w:pPr>
        <w:numPr>
          <w:ilvl w:val="0"/>
          <w:numId w:val="1004"/>
        </w:numPr>
        <w:pStyle w:val="Compact"/>
      </w:pPr>
      <w:r>
        <w:rPr>
          <w:bCs/>
          <w:b/>
        </w:rPr>
        <w:t xml:space="preserve">Total Product Mass:</w:t>
      </w:r>
      <w:r>
        <w:t xml:space="preserve"> </w:t>
      </w:r>
      <w:r>
        <w:t xml:space="preserve">Approximately 1.5 kg (based on BOM components)</w:t>
      </w:r>
    </w:p>
    <w:p>
      <w:pPr>
        <w:numPr>
          <w:ilvl w:val="0"/>
          <w:numId w:val="1004"/>
        </w:numPr>
        <w:pStyle w:val="Compact"/>
      </w:pPr>
      <w:r>
        <w:rPr>
          <w:bCs/>
          <w:b/>
        </w:rPr>
        <w:t xml:space="preserve">Upstream Transport Distance (Raw materials to China factory):</w:t>
      </w:r>
    </w:p>
    <w:p>
      <w:pPr>
        <w:numPr>
          <w:ilvl w:val="1"/>
          <w:numId w:val="1005"/>
        </w:numPr>
        <w:pStyle w:val="Compact"/>
      </w:pPr>
      <w:r>
        <w:t xml:space="preserve">Ocean Freight: 8,000 km</w:t>
      </w:r>
    </w:p>
    <w:p>
      <w:pPr>
        <w:numPr>
          <w:ilvl w:val="1"/>
          <w:numId w:val="1005"/>
        </w:numPr>
        <w:pStyle w:val="Compact"/>
      </w:pPr>
      <w:r>
        <w:t xml:space="preserve">Road Freight (within China): 500 km</w:t>
      </w:r>
    </w:p>
    <w:p>
      <w:pPr>
        <w:numPr>
          <w:ilvl w:val="0"/>
          <w:numId w:val="1004"/>
        </w:numPr>
        <w:pStyle w:val="Compact"/>
      </w:pPr>
      <w:r>
        <w:rPr>
          <w:bCs/>
          <w:b/>
        </w:rPr>
        <w:t xml:space="preserve">Downstream Transport Distance (Finished product from China factory to European market):</w:t>
      </w:r>
      <w:r>
        <w:t xml:space="preserve"> </w:t>
      </w:r>
      <w:r>
        <w:t xml:space="preserve">iyleynqmed</w:t>
      </w:r>
    </w:p>
    <w:p>
      <w:pPr>
        <w:numPr>
          <w:ilvl w:val="1"/>
          <w:numId w:val="1006"/>
        </w:numPr>
        <w:pStyle w:val="Compact"/>
      </w:pPr>
      <w:r>
        <w:t xml:space="preserve">Main Transport Mode: Select Mode = Ocean Freight (China to Europe), 12,000 km</w:t>
      </w:r>
    </w:p>
    <w:p>
      <w:pPr>
        <w:numPr>
          <w:ilvl w:val="1"/>
          <w:numId w:val="1006"/>
        </w:numPr>
        <w:pStyle w:val="Compact"/>
      </w:pPr>
      <w:r>
        <w:t xml:space="preserve">European Road Freight (Port to Distribution Center): 700 km</w:t>
      </w:r>
    </w:p>
    <w:p>
      <w:pPr>
        <w:numPr>
          <w:ilvl w:val="1"/>
          <w:numId w:val="1006"/>
        </w:numPr>
        <w:pStyle w:val="Compact"/>
      </w:pPr>
      <w:r>
        <w:t xml:space="preserve">Last-Mile Delivery Channel: Delivery Type = Road Freight (Light Commercial Van), 100 km</w:t>
      </w:r>
    </w:p>
    <w:p>
      <w:pPr>
        <w:numPr>
          <w:ilvl w:val="0"/>
          <w:numId w:val="1004"/>
        </w:numPr>
        <w:pStyle w:val="Compact"/>
      </w:pPr>
      <w:r>
        <w:rPr>
          <w:bCs/>
          <w:b/>
        </w:rPr>
        <w:t xml:space="preserve">Emission Factors for Transport:</w:t>
      </w:r>
    </w:p>
    <w:p>
      <w:pPr>
        <w:numPr>
          <w:ilvl w:val="1"/>
          <w:numId w:val="1007"/>
        </w:numPr>
        <w:pStyle w:val="Compact"/>
      </w:pPr>
      <w:r>
        <w:t xml:space="preserve">Ocean Freight (Container Ship, average): 0.016 kg CO2e/tonne-km</w:t>
      </w:r>
    </w:p>
    <w:p>
      <w:pPr>
        <w:numPr>
          <w:ilvl w:val="1"/>
          <w:numId w:val="1007"/>
        </w:numPr>
        <w:pStyle w:val="Compact"/>
      </w:pPr>
      <w:r>
        <w:t xml:space="preserve">Road Freight (Heavy Duty Truck, average): 0.08 kg CO2e/tonne-km</w:t>
      </w:r>
    </w:p>
    <w:p>
      <w:pPr>
        <w:numPr>
          <w:ilvl w:val="1"/>
          <w:numId w:val="1007"/>
        </w:numPr>
        <w:pStyle w:val="Compact"/>
      </w:pPr>
      <w:r>
        <w:t xml:space="preserve">Road Freight (Light Commercial Van, last mile): 0.15 kg CO2e/tonne-km</w:t>
      </w:r>
    </w:p>
    <w:bookmarkEnd w:id="29"/>
    <w:bookmarkStart w:id="30"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hhofoztpxk = 7 years</w:t>
      </w:r>
    </w:p>
    <w:p>
      <w:pPr>
        <w:numPr>
          <w:ilvl w:val="0"/>
          <w:numId w:val="1008"/>
        </w:numPr>
        <w:pStyle w:val="Compact"/>
      </w:pPr>
      <w:r>
        <w:rPr>
          <w:bCs/>
          <w:b/>
        </w:rPr>
        <w:t xml:space="preserve">Energy Consumption in Use:</w:t>
      </w:r>
      <w:r>
        <w:t xml:space="preserve"> </w:t>
      </w:r>
      <w:r>
        <w:t xml:space="preserve">fteviokfof = 8 kWh/year</w:t>
      </w:r>
    </w:p>
    <w:p>
      <w:pPr>
        <w:numPr>
          <w:ilvl w:val="0"/>
          <w:numId w:val="1008"/>
        </w:numPr>
        <w:pStyle w:val="Compact"/>
      </w:pPr>
      <w:r>
        <w:rPr>
          <w:bCs/>
          <w:b/>
        </w:rPr>
        <w:t xml:space="preserve">Total Energy Consumption over Lifespan:</w:t>
      </w:r>
      <w:r>
        <w:t xml:space="preserve"> </w:t>
      </w:r>
      <w:r>
        <w:t xml:space="preserve">56 kWh (8 kWh/year * 7 years)</w:t>
      </w:r>
    </w:p>
    <w:p>
      <w:pPr>
        <w:numPr>
          <w:ilvl w:val="0"/>
          <w:numId w:val="1008"/>
        </w:numPr>
        <w:pStyle w:val="Compact"/>
      </w:pPr>
      <w:r>
        <w:rPr>
          <w:bCs/>
          <w:b/>
        </w:rPr>
        <w:t xml:space="preserve">Electricity Grid Emission Factor (European Union):</w:t>
      </w:r>
      <w:r>
        <w:t xml:space="preserve"> </w:t>
      </w:r>
      <w:r>
        <w:t xml:space="preserve">0.25 kg CO2e/kWh (average EU grid mix)</w:t>
      </w:r>
    </w:p>
    <w:bookmarkEnd w:id="30"/>
    <w:bookmarkStart w:id="31" w:name="end-of-life-eol-data"/>
    <w:p>
      <w:pPr>
        <w:pStyle w:val="Heading3"/>
      </w:pPr>
      <w:r>
        <w:t xml:space="preserve">End-of-Life (EoL) Data</w:t>
      </w:r>
    </w:p>
    <w:p>
      <w:pPr>
        <w:numPr>
          <w:ilvl w:val="0"/>
          <w:numId w:val="1009"/>
        </w:numPr>
        <w:pStyle w:val="Compact"/>
      </w:pPr>
      <w:r>
        <w:rPr>
          <w:bCs/>
          <w:b/>
        </w:rPr>
        <w:t xml:space="preserve">Recyclability Percentage:</w:t>
      </w:r>
      <w:r>
        <w:t xml:space="preserve"> </w:t>
      </w:r>
      <w:r>
        <w:t xml:space="preserve">qghnxzhdfp = 75%</w:t>
      </w:r>
    </w:p>
    <w:p>
      <w:pPr>
        <w:numPr>
          <w:ilvl w:val="0"/>
          <w:numId w:val="1009"/>
        </w:numPr>
        <w:pStyle w:val="Compact"/>
      </w:pPr>
      <w:r>
        <w:rPr>
          <w:bCs/>
          <w:b/>
        </w:rPr>
        <w:t xml:space="preserve">Circular/Take-back Programs:</w:t>
      </w:r>
      <w:r>
        <w:t xml:space="preserve"> </w:t>
      </w:r>
      <w:r>
        <w:t xml:space="preserve">uypflqpuzr = Implemented</w:t>
      </w:r>
    </w:p>
    <w:p>
      <w:pPr>
        <w:numPr>
          <w:ilvl w:val="0"/>
          <w:numId w:val="1009"/>
        </w:numPr>
        <w:pStyle w:val="Compact"/>
      </w:pPr>
      <w:r>
        <w:rPr>
          <w:bCs/>
          <w:b/>
        </w:rPr>
        <w:t xml:space="preserve">Landfill Emission Factor (Mixed Waste):</w:t>
      </w:r>
      <w:r>
        <w:t xml:space="preserve"> </w:t>
      </w:r>
      <w:r>
        <w:t xml:space="preserve">1.0 kg CO2e/kg (illustrative for non-recycled waste)</w:t>
      </w:r>
    </w:p>
    <w:p>
      <w:pPr>
        <w:numPr>
          <w:ilvl w:val="0"/>
          <w:numId w:val="1009"/>
        </w:numPr>
        <w:pStyle w:val="Compact"/>
      </w:pPr>
      <w:r>
        <w:rPr>
          <w:bCs/>
          <w:b/>
        </w:rPr>
        <w:t xml:space="preserve">Avoided Emission Factors (Credits for Recycling):</w:t>
      </w:r>
    </w:p>
    <w:p>
      <w:pPr>
        <w:numPr>
          <w:ilvl w:val="1"/>
          <w:numId w:val="1010"/>
        </w:numPr>
        <w:pStyle w:val="Compact"/>
      </w:pPr>
      <w:r>
        <w:t xml:space="preserve">Steel: -1.5 kg CO2e/kg avoided</w:t>
      </w:r>
    </w:p>
    <w:p>
      <w:pPr>
        <w:numPr>
          <w:ilvl w:val="1"/>
          <w:numId w:val="1010"/>
        </w:numPr>
        <w:pStyle w:val="Compact"/>
      </w:pPr>
      <w:r>
        <w:t xml:space="preserve">Plastic: -2.0 kg CO2e/kg avoided (significant reduction due to recycling)</w:t>
      </w:r>
    </w:p>
    <w:p>
      <w:pPr>
        <w:numPr>
          <w:ilvl w:val="1"/>
          <w:numId w:val="1010"/>
        </w:numPr>
        <w:pStyle w:val="Compact"/>
      </w:pPr>
      <w:r>
        <w:t xml:space="preserve">Copper: -2.6 kg CO2e/kg avoided (65% reduction from 4.0 kg/kg virgin)</w:t>
      </w:r>
    </w:p>
    <w:p>
      <w:pPr>
        <w:numPr>
          <w:ilvl w:val="1"/>
          <w:numId w:val="1010"/>
        </w:numPr>
        <w:pStyle w:val="Compact"/>
      </w:pPr>
      <w:r>
        <w:t xml:space="preserve">Lithium-ion Battery: -5.0 kg CO2e/kg avoided (simplified, acknowledging complex recycling benefits)</w:t>
      </w:r>
    </w:p>
    <w:p>
      <w:r>
        <w:pict>
          <v:rect style="width:0;height:1.5pt" o:hralign="center" o:hrstd="t" o:hr="t"/>
        </w:pict>
      </w:r>
    </w:p>
    <w:bookmarkEnd w:id="31"/>
    <w:bookmarkEnd w:id="32"/>
    <w:bookmarkStart w:id="44" w:name="calculate-emissions"/>
    <w:p>
      <w:pPr>
        <w:pStyle w:val="Heading2"/>
      </w:pPr>
      <w:r>
        <w:t xml:space="preserve">4. Calculate Emissions</w:t>
      </w:r>
    </w:p>
    <w:p>
      <w:pPr>
        <w:pStyle w:val="FirstParagraph"/>
      </w:pPr>
      <w:r>
        <w:t xml:space="preserve">Emissions are calculated for each lifecycle stage by multiplying activity data by the corresponding emission factors, categorized by GHG Protocol scopes.</w:t>
      </w:r>
    </w:p>
    <w:bookmarkStart w:id="33" w:name="methodology"/>
    <w:p>
      <w:pPr>
        <w:pStyle w:val="Heading3"/>
      </w:pPr>
      <w:r>
        <w:t xml:space="preserve">Methodology</w:t>
      </w:r>
    </w:p>
    <w:p>
      <w:pPr>
        <w:pStyle w:val="FirstParagraph"/>
      </w:pPr>
      <w:r>
        <w:t xml:space="preserve">The calculation methodology follows the principle:</w:t>
      </w:r>
      <w:r>
        <w:t xml:space="preserve"> </w:t>
      </w:r>
      <w:r>
        <w:rPr>
          <w:rStyle w:val="VerbatimChar"/>
        </w:rPr>
        <w:t xml:space="preserve">GHG Emissions = Activity Data × Emission Factor</w:t>
      </w:r>
      <w:r>
        <w:t xml:space="preserve">. Emissions are reported in kg CO2 equivalent (kg CO2e).</w:t>
      </w:r>
    </w:p>
    <w:bookmarkEnd w:id="33"/>
    <w:bookmarkStart w:id="34" w:name="scope-1-emissions-direct-emissions"/>
    <w:p>
      <w:pPr>
        <w:pStyle w:val="Heading3"/>
      </w:pPr>
      <w:r>
        <w:t xml:space="preserve">Scope 1 Emissions (Direct Emissions)</w:t>
      </w:r>
    </w:p>
    <w:p>
      <w:pPr>
        <w:pStyle w:val="FirstParagraph"/>
      </w:pPr>
      <w:r>
        <w:t xml:space="preserve">For the product "kwrpnzzwft", it is assumed that there are no direct (Scope 1) GHG emissions from sources owned or controlled by nzvokntgsg during the product\'s manufacturing process that are directly attributable to the production of a single unit. Therefore, Scope 1 emissions are considered negligible for this product-level analysis.</w:t>
      </w:r>
    </w:p>
    <w:p>
      <w:pPr>
        <w:numPr>
          <w:ilvl w:val="0"/>
          <w:numId w:val="1011"/>
        </w:numPr>
        <w:pStyle w:val="Compact"/>
      </w:pPr>
      <w:r>
        <w:rPr>
          <w:bCs/>
          <w:b/>
        </w:rPr>
        <w:t xml:space="preserve">Total Scope 1 Emissions: 0.00 kg CO2e</w:t>
      </w:r>
    </w:p>
    <w:bookmarkEnd w:id="34"/>
    <w:bookmarkStart w:id="35" w:name="scope-2-emissions-purchased-electricity"/>
    <w:p>
      <w:pPr>
        <w:pStyle w:val="Heading3"/>
      </w:pPr>
      <w:r>
        <w:t xml:space="preserve">Scope 2 Emissions (Purchased Electricity)</w:t>
      </w:r>
    </w:p>
    <w:p>
      <w:pPr>
        <w:pStyle w:val="FirstParagraph"/>
      </w:pPr>
      <w:r>
        <w:t xml:space="preserve">These emissions arise from the generation of purchased electricity consumed during the manufacturing of "kwrpnzzwft" in China.</w:t>
      </w:r>
    </w:p>
    <w:p>
      <w:pPr>
        <w:numPr>
          <w:ilvl w:val="0"/>
          <w:numId w:val="1012"/>
        </w:numPr>
        <w:pStyle w:val="Compact"/>
      </w:pPr>
      <w:r>
        <w:t xml:space="preserve">Non-renewable electricity consumed: 1.8 kWh/unit</w:t>
      </w:r>
    </w:p>
    <w:p>
      <w:pPr>
        <w:numPr>
          <w:ilvl w:val="0"/>
          <w:numId w:val="1012"/>
        </w:numPr>
        <w:pStyle w:val="Compact"/>
      </w:pPr>
      <w:r>
        <w:t xml:space="preserve">China Grid Emission Factor: 0.6 kg CO2e/kWh</w:t>
      </w:r>
    </w:p>
    <w:p>
      <w:pPr>
        <w:numPr>
          <w:ilvl w:val="0"/>
          <w:numId w:val="1012"/>
        </w:numPr>
        <w:pStyle w:val="Compact"/>
      </w:pPr>
      <w:r>
        <w:t xml:space="preserve">Calculation: 1.8 kWh/unit * 0.6 kg CO2e/kWh = 1.08 kg CO2e</w:t>
      </w:r>
    </w:p>
    <w:p>
      <w:pPr>
        <w:numPr>
          <w:ilvl w:val="0"/>
          <w:numId w:val="1012"/>
        </w:numPr>
        <w:pStyle w:val="Compact"/>
      </w:pPr>
      <w:r>
        <w:rPr>
          <w:bCs/>
          <w:b/>
        </w:rPr>
        <w:t xml:space="preserve">Total Scope 2 Emissions: 1.08 kg CO2e</w:t>
      </w:r>
    </w:p>
    <w:bookmarkEnd w:id="35"/>
    <w:bookmarkStart w:id="41" w:name="scope-3-emissions-value-chain-emissions"/>
    <w:p>
      <w:pPr>
        <w:pStyle w:val="Heading3"/>
      </w:pPr>
      <w:r>
        <w:t xml:space="preserve">Scope 3 Emissions (Value Chain Emissions)</w:t>
      </w:r>
    </w:p>
    <w:p>
      <w:pPr>
        <w:pStyle w:val="FirstParagraph"/>
      </w:pPr>
      <w:r>
        <w:t xml:space="preserve">Scope 3 emissions encompass all indirect emissions occurring in the value chain of "kwrpnzzwft."</w:t>
      </w:r>
    </w:p>
    <w:bookmarkStart w:id="36" w:name="Xc54d88fb997db967cdcf7f3074a3c8a30cbc62a"/>
    <w:p>
      <w:pPr>
        <w:pStyle w:val="Heading4"/>
      </w:pPr>
      <w:r>
        <w:t xml:space="preserve">Materials (Upstream - Category 1: Purchased goods and services)</w:t>
      </w:r>
    </w:p>
    <w:p>
      <w:pPr>
        <w:pStyle w:val="FirstParagraph"/>
      </w:pPr>
      <w:r>
        <w:t xml:space="preserve">This includes emissions from the extraction, processing, and manufacturing of raw materials as detailed in the BOM.</w:t>
      </w:r>
    </w:p>
    <w:p>
      <w:pPr>
        <w:numPr>
          <w:ilvl w:val="0"/>
          <w:numId w:val="1013"/>
        </w:numPr>
        <w:pStyle w:val="Compact"/>
      </w:pPr>
      <w:r>
        <w:t xml:space="preserve">Total Material Carbon Footprint (from BOM): 10.88 kg CO2e</w:t>
      </w:r>
    </w:p>
    <w:p>
      <w:pPr>
        <w:numPr>
          <w:ilvl w:val="0"/>
          <w:numId w:val="1013"/>
        </w:numPr>
        <w:pStyle w:val="Compact"/>
      </w:pPr>
      <w:r>
        <w:rPr>
          <w:bCs/>
          <w:b/>
        </w:rPr>
        <w:t xml:space="preserve">Total Scope 3 - Materials: 10.88 kg CO2e</w:t>
      </w:r>
    </w:p>
    <w:bookmarkEnd w:id="36"/>
    <w:bookmarkStart w:id="37" w:name="Xbc80e0405e9e05febdd753b5c602443169f819d"/>
    <w:p>
      <w:pPr>
        <w:pStyle w:val="Heading4"/>
      </w:pPr>
      <w:r>
        <w:t xml:space="preserve">Transport (Upstream &amp; Downstream - Category 4: Upstream transportation and distribution &amp; Category 9: Downstream transportation and distribution)</w:t>
      </w:r>
    </w:p>
    <w:p>
      <w:pPr>
        <w:pStyle w:val="FirstParagraph"/>
      </w:pPr>
      <w:r>
        <w:t xml:space="preserve">This includes all inbound logistics of raw materials to the manufacturing facility and outbound logistics of the finished product to the end-user.</w:t>
      </w:r>
    </w:p>
    <w:p>
      <w:pPr>
        <w:numPr>
          <w:ilvl w:val="0"/>
          <w:numId w:val="1014"/>
        </w:numPr>
        <w:pStyle w:val="Compact"/>
      </w:pPr>
      <w:r>
        <w:rPr>
          <w:bCs/>
          <w:b/>
        </w:rPr>
        <w:t xml:space="preserve">Upstream Transport:</w:t>
      </w:r>
    </w:p>
    <w:p>
      <w:pPr>
        <w:numPr>
          <w:ilvl w:val="1"/>
          <w:numId w:val="1015"/>
        </w:numPr>
        <w:pStyle w:val="Compact"/>
      </w:pPr>
      <w:r>
        <w:t xml:space="preserve">Ocean Freight (0.75 kg * 8000 km * 0.016 kg CO2e/tonne-km / 1000 kg/tonne): 0.096 kg CO2e</w:t>
      </w:r>
    </w:p>
    <w:p>
      <w:pPr>
        <w:numPr>
          <w:ilvl w:val="1"/>
          <w:numId w:val="1015"/>
        </w:numPr>
        <w:pStyle w:val="Compact"/>
      </w:pPr>
      <w:r>
        <w:t xml:space="preserve">Road Freight (0.75 kg * 500 km * 0.08 kg CO2e/tonne-km / 1000 kg/tonne): 0.030 kg CO2e</w:t>
      </w:r>
    </w:p>
    <w:p>
      <w:pPr>
        <w:numPr>
          <w:ilvl w:val="1"/>
          <w:numId w:val="1015"/>
        </w:numPr>
        <w:pStyle w:val="Compact"/>
      </w:pPr>
      <w:r>
        <w:t xml:space="preserve">Subtotal Upstream Transport: 0.126 kg CO2e</w:t>
      </w:r>
    </w:p>
    <w:p>
      <w:pPr>
        <w:numPr>
          <w:ilvl w:val="0"/>
          <w:numId w:val="1014"/>
        </w:numPr>
        <w:pStyle w:val="Compact"/>
      </w:pPr>
      <w:r>
        <w:rPr>
          <w:bCs/>
          <w:b/>
        </w:rPr>
        <w:t xml:space="preserve">Downstream Transport:</w:t>
      </w:r>
    </w:p>
    <w:p>
      <w:pPr>
        <w:numPr>
          <w:ilvl w:val="1"/>
          <w:numId w:val="1016"/>
        </w:numPr>
        <w:pStyle w:val="Compact"/>
      </w:pPr>
      <w:r>
        <w:t xml:space="preserve">Ocean Freight (1.5 kg * 12000 km * 0.016 kg CO2e/tonne-km / 1000 kg/tonne): 0.288 kg CO2e</w:t>
      </w:r>
    </w:p>
    <w:p>
      <w:pPr>
        <w:numPr>
          <w:ilvl w:val="1"/>
          <w:numId w:val="1016"/>
        </w:numPr>
        <w:pStyle w:val="Compact"/>
      </w:pPr>
      <w:r>
        <w:t xml:space="preserve">European Road Freight (1.5 kg * 700 km * 0.08 kg CO2e/tonne-km / 1000 kg/tonne): 0.084 kg CO2e</w:t>
      </w:r>
    </w:p>
    <w:p>
      <w:pPr>
        <w:numPr>
          <w:ilvl w:val="1"/>
          <w:numId w:val="1016"/>
        </w:numPr>
        <w:pStyle w:val="Compact"/>
      </w:pPr>
      <w:r>
        <w:t xml:space="preserve">Last-Mile Delivery (1.5 kg * 100 km * 0.15 kg CO2e/tonne-km / 1000 kg/tonne): 0.0225 kg CO2e</w:t>
      </w:r>
    </w:p>
    <w:p>
      <w:pPr>
        <w:numPr>
          <w:ilvl w:val="1"/>
          <w:numId w:val="1016"/>
        </w:numPr>
        <w:pStyle w:val="Compact"/>
      </w:pPr>
      <w:r>
        <w:t xml:space="preserve">Subtotal Downstream Transport: 0.3945 kg CO2e</w:t>
      </w:r>
    </w:p>
    <w:p>
      <w:pPr>
        <w:numPr>
          <w:ilvl w:val="0"/>
          <w:numId w:val="1014"/>
        </w:numPr>
        <w:pStyle w:val="Compact"/>
      </w:pPr>
      <w:r>
        <w:rPr>
          <w:bCs/>
          <w:b/>
        </w:rPr>
        <w:t xml:space="preserve">Total Scope 3 - Transport: 0.5205 kg CO2e</w:t>
      </w:r>
    </w:p>
    <w:bookmarkEnd w:id="37"/>
    <w:bookmarkStart w:id="38" w:name="X8d12bf184da61ed1b86eb215c14cb92288143a6"/>
    <w:p>
      <w:pPr>
        <w:pStyle w:val="Heading4"/>
      </w:pPr>
      <w:r>
        <w:t xml:space="preserve">Use Phase (Category 11: Use of sold products)</w:t>
      </w:r>
    </w:p>
    <w:p>
      <w:pPr>
        <w:pStyle w:val="FirstParagraph"/>
      </w:pPr>
      <w:r>
        <w:t xml:space="preserve">Emissions from the energy consumed by the product during its lifespan, based on its intended use in Europe.</w:t>
      </w:r>
    </w:p>
    <w:p>
      <w:pPr>
        <w:numPr>
          <w:ilvl w:val="0"/>
          <w:numId w:val="1017"/>
        </w:numPr>
        <w:pStyle w:val="Compact"/>
      </w:pPr>
      <w:r>
        <w:t xml:space="preserve">Total Energy in Use: 56 kWh</w:t>
      </w:r>
    </w:p>
    <w:p>
      <w:pPr>
        <w:numPr>
          <w:ilvl w:val="0"/>
          <w:numId w:val="1017"/>
        </w:numPr>
        <w:pStyle w:val="Compact"/>
      </w:pPr>
      <w:r>
        <w:t xml:space="preserve">EU Grid Emission Factor: 0.25 kg CO2e/kWh</w:t>
      </w:r>
    </w:p>
    <w:p>
      <w:pPr>
        <w:numPr>
          <w:ilvl w:val="0"/>
          <w:numId w:val="1017"/>
        </w:numPr>
        <w:pStyle w:val="Compact"/>
      </w:pPr>
      <w:r>
        <w:t xml:space="preserve">Calculation: 56 kWh * 0.25 kg CO2e/kWh = 14.00 kg CO2e</w:t>
      </w:r>
    </w:p>
    <w:p>
      <w:pPr>
        <w:numPr>
          <w:ilvl w:val="0"/>
          <w:numId w:val="1017"/>
        </w:numPr>
        <w:pStyle w:val="Compact"/>
      </w:pPr>
      <w:r>
        <w:rPr>
          <w:bCs/>
          <w:b/>
        </w:rPr>
        <w:t xml:space="preserve">Total Scope 3 - Use Phase: 14.00 kg CO2e</w:t>
      </w:r>
    </w:p>
    <w:bookmarkEnd w:id="38"/>
    <w:bookmarkStart w:id="39" w:name="X9e126be8fbc163cb48ec66f49b5e5d28966250f"/>
    <w:p>
      <w:pPr>
        <w:pStyle w:val="Heading4"/>
      </w:pPr>
      <w:r>
        <w:t xml:space="preserve">End-of-Life (EoL) (Category 12: End-of-life treatment of sold products)</w:t>
      </w:r>
    </w:p>
    <w:p>
      <w:pPr>
        <w:pStyle w:val="FirstParagraph"/>
      </w:pPr>
      <w:r>
        <w:t xml:space="preserve">This includes emissions from waste treatment (landfill) and avoided emissions (credits) from recycling due to circular/take-back programs.</w:t>
      </w:r>
    </w:p>
    <w:p>
      <w:pPr>
        <w:numPr>
          <w:ilvl w:val="0"/>
          <w:numId w:val="1018"/>
        </w:numPr>
        <w:pStyle w:val="Compact"/>
      </w:pPr>
      <w:r>
        <w:t xml:space="preserve">Total product mass: 1.5 kg</w:t>
      </w:r>
    </w:p>
    <w:p>
      <w:pPr>
        <w:numPr>
          <w:ilvl w:val="0"/>
          <w:numId w:val="1018"/>
        </w:numPr>
        <w:pStyle w:val="Compact"/>
      </w:pPr>
      <w:r>
        <w:t xml:space="preserve">Recycled portion (75% of 1.5 kg = 1.125 kg)</w:t>
      </w:r>
    </w:p>
    <w:p>
      <w:pPr>
        <w:numPr>
          <w:ilvl w:val="1"/>
          <w:numId w:val="1019"/>
        </w:numPr>
        <w:pStyle w:val="Compact"/>
      </w:pPr>
      <w:r>
        <w:t xml:space="preserve">Steel: 0.45 kg * (-1.5 kg CO2e/kg) = -0.675 kg CO2e</w:t>
      </w:r>
    </w:p>
    <w:p>
      <w:pPr>
        <w:numPr>
          <w:ilvl w:val="1"/>
          <w:numId w:val="1019"/>
        </w:numPr>
        <w:pStyle w:val="Compact"/>
      </w:pPr>
      <w:r>
        <w:t xml:space="preserve">Plastic: 0.3 kg * (-2.0 kg CO2e/kg) = -0.60 kg CO2e</w:t>
      </w:r>
    </w:p>
    <w:p>
      <w:pPr>
        <w:numPr>
          <w:ilvl w:val="1"/>
          <w:numId w:val="1019"/>
        </w:numPr>
        <w:pStyle w:val="Compact"/>
      </w:pPr>
      <w:r>
        <w:t xml:space="preserve">Copper: 0.075 kg * (-2.6 kg CO2e/kg) = -0.195 kg CO2e</w:t>
      </w:r>
    </w:p>
    <w:p>
      <w:pPr>
        <w:numPr>
          <w:ilvl w:val="1"/>
          <w:numId w:val="1019"/>
        </w:numPr>
        <w:pStyle w:val="Compact"/>
      </w:pPr>
      <w:r>
        <w:t xml:space="preserve">Battery: 0.15 kg * (-5.0 kg CO2e/kg) = -0.75 kg CO2e</w:t>
      </w:r>
    </w:p>
    <w:p>
      <w:pPr>
        <w:numPr>
          <w:ilvl w:val="1"/>
          <w:numId w:val="1019"/>
        </w:numPr>
        <w:pStyle w:val="Compact"/>
      </w:pPr>
      <w:r>
        <w:t xml:space="preserve">Other: 0.15 kg * (-0.1 kg CO2e/kg) = -0.015 kg CO2e</w:t>
      </w:r>
    </w:p>
    <w:p>
      <w:pPr>
        <w:numPr>
          <w:ilvl w:val="1"/>
          <w:numId w:val="1019"/>
        </w:numPr>
        <w:pStyle w:val="Compact"/>
      </w:pPr>
      <w:r>
        <w:t xml:space="preserve">Subtotal Recycling Credit: -2.235 kg CO2e</w:t>
      </w:r>
    </w:p>
    <w:p>
      <w:pPr>
        <w:numPr>
          <w:ilvl w:val="0"/>
          <w:numId w:val="1018"/>
        </w:numPr>
        <w:pStyle w:val="Compact"/>
      </w:pPr>
      <w:r>
        <w:t xml:space="preserve">Landfill portion (25% of 1.5 kg = 0.375 kg)</w:t>
      </w:r>
    </w:p>
    <w:p>
      <w:pPr>
        <w:numPr>
          <w:ilvl w:val="1"/>
          <w:numId w:val="1020"/>
        </w:numPr>
        <w:pStyle w:val="Compact"/>
      </w:pPr>
      <w:r>
        <w:t xml:space="preserve">Burden: 0.375 kg * 1.0 kg CO2e/kg = 0.375 kg CO2e</w:t>
      </w:r>
    </w:p>
    <w:p>
      <w:pPr>
        <w:numPr>
          <w:ilvl w:val="0"/>
          <w:numId w:val="1018"/>
        </w:numPr>
        <w:pStyle w:val="Compact"/>
      </w:pPr>
      <w:r>
        <w:t xml:space="preserve">Net EoL Emissions: -2.235 kg CO2e + 0.375 kg CO2e = -1.86 kg CO2e</w:t>
      </w:r>
    </w:p>
    <w:p>
      <w:pPr>
        <w:numPr>
          <w:ilvl w:val="0"/>
          <w:numId w:val="1018"/>
        </w:numPr>
        <w:pStyle w:val="Compact"/>
      </w:pPr>
      <w:r>
        <w:rPr>
          <w:bCs/>
          <w:b/>
        </w:rPr>
        <w:t xml:space="preserve">Total Scope 3 - End-of-Life: -1.86 kg CO2e</w:t>
      </w:r>
    </w:p>
    <w:bookmarkEnd w:id="39"/>
    <w:bookmarkStart w:id="40" w:name="Xabd0db99c2bce0500fdce70d222bc8aa5c71edc"/>
    <w:p>
      <w:pPr>
        <w:pStyle w:val="Heading4"/>
      </w:pPr>
      <w:r>
        <w:t xml:space="preserve">Land Sector and Removals (LSR) Update (2026 GHG Protocol Consideration)</w:t>
      </w:r>
    </w:p>
    <w:p>
      <w:pPr>
        <w:pStyle w:val="FirstParagraph"/>
      </w:pPr>
      <w:r>
        <w:t xml:space="preserve">In accordance with the 2026 GHG Protocol LSR Update, consideration has been given to potential land use and carbon removals. For a manufactured electronic product like "kwrpnzzwft", direct land use emissions or significant carbon removals are not typically associated at the product level unless specific bio-based materials or processes with direct land interaction are utilized. This analysis assumes no direct material-related land use emissions or removals, but acknowledges the importance of the LSR standard for relevant product categories.</w:t>
      </w:r>
    </w:p>
    <w:p>
      <w:pPr>
        <w:numPr>
          <w:ilvl w:val="0"/>
          <w:numId w:val="1021"/>
        </w:numPr>
        <w:pStyle w:val="Compact"/>
      </w:pPr>
      <w:r>
        <w:rPr>
          <w:bCs/>
          <w:b/>
        </w:rPr>
        <w:t xml:space="preserve">Total Scope 3 - LSR: 0.00 kg CO2e</w:t>
      </w:r>
      <w:r>
        <w:t xml:space="preserve"> </w:t>
      </w:r>
      <w:r>
        <w:t xml:space="preserve">(No significant direct impact identified for this product)</w:t>
      </w:r>
    </w:p>
    <w:bookmarkEnd w:id="40"/>
    <w:bookmarkEnd w:id="41"/>
    <w:bookmarkStart w:id="42"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1.08</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10.88</w:t>
            </w:r>
          </w:p>
        </w:tc>
      </w:tr>
      <w:tr>
        <w:tc>
          <w:tcPr>
            <w:gridSpan w:val="1"/>
            <w:vMerge w:val="continue"/>
          </w:tcPr>
          <w:p>
            <w:pPr/>
          </w:p>
        </w:tc>
        <w:tc>
          <w:tcPr/>
          <w:p>
            <w:pPr>
              <w:pStyle w:val="Compact"/>
              <w:jc w:val="left"/>
            </w:pPr>
            <w:r>
              <w:t xml:space="preserve">Category 4 &amp; 9: Upstream &amp; Downstream Transportation</w:t>
            </w:r>
          </w:p>
        </w:tc>
        <w:tc>
          <w:tcPr/>
          <w:p>
            <w:pPr>
              <w:pStyle w:val="Compact"/>
              <w:jc w:val="left"/>
            </w:pPr>
            <w:r>
              <w:t xml:space="preserve">0.52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-1.86</w:t>
            </w:r>
          </w:p>
        </w:tc>
      </w:tr>
      <w:tr>
        <w:tc>
          <w:tcPr>
            <w:gridSpan w:val="1"/>
            <w:vMerge w:val="continue"/>
          </w:tcPr>
          <w:p>
            <w:pPr/>
          </w:p>
        </w:tc>
        <w:tc>
          <w:tcPr/>
          <w:p>
            <w:pPr>
              <w:pStyle w:val="Compact"/>
              <w:jc w:val="left"/>
            </w:pPr>
            <w:r>
              <w:t xml:space="preserve">Land Sector and Removals (LSR)</w:t>
            </w:r>
          </w:p>
        </w:tc>
        <w:tc>
          <w:tcPr/>
          <w:p>
            <w:pPr>
              <w:pStyle w:val="Compact"/>
              <w:jc w:val="left"/>
            </w:pPr>
            <w:r>
              <w:t xml:space="preserve">0.00</w:t>
            </w:r>
          </w:p>
        </w:tc>
      </w:tr>
      <w:tr>
        <w:tc>
          <w:tcPr>
            <w:gridSpan w:val="2"/>
          </w:tcPr>
          <w:p>
            <w:pPr>
              <w:pStyle w:val="Compact"/>
              <w:jc w:val="right"/>
            </w:pPr>
            <w:r>
              <w:t xml:space="preserve">Total Product Carbon Footprint (PCF)</w:t>
            </w:r>
          </w:p>
        </w:tc>
        <w:tc>
          <w:tcPr/>
          <w:p>
            <w:pPr>
              <w:pStyle w:val="Compact"/>
              <w:jc w:val="left"/>
            </w:pPr>
            <w:r>
              <w:t xml:space="preserve">24.62</w:t>
            </w:r>
          </w:p>
        </w:tc>
      </w:tr>
    </w:tbl>
    <w:p>
      <w:pPr>
        <w:pStyle w:val="BodyText"/>
      </w:pPr>
      <w:r>
        <w:rPr>
          <w:iCs/>
          <w:i/>
        </w:rPr>
        <w:t xml:space="preserve">Note: Totals may slightly vary due to rounding. The detailed End-of-Life calculation was adjusted to -1.86 kg CO2e.</w:t>
      </w:r>
    </w:p>
    <w:bookmarkEnd w:id="42"/>
    <w:bookmarkStart w:id="43" w:name="total-product-carbon-footprint-pcf"/>
    <w:p>
      <w:pPr>
        <w:pStyle w:val="Heading3"/>
      </w:pPr>
      <w:r>
        <w:t xml:space="preserve">Total Product Carbon Footprint (PCF)</w:t>
      </w:r>
    </w:p>
    <w:p>
      <w:pPr>
        <w:pStyle w:val="FirstParagraph"/>
      </w:pPr>
      <w:r>
        <w:t xml:space="preserve">The total Cradle-to-End-of-Life Product Carbon Footprint for one functional unit of kwrpnzzwft is:</w:t>
      </w:r>
    </w:p>
    <w:p>
      <w:pPr>
        <w:pStyle w:val="BodyText"/>
      </w:pPr>
      <w:r>
        <w:rPr>
          <w:bCs/>
          <w:b/>
        </w:rPr>
        <w:t xml:space="preserve">Total PCF = 24.62 kg CO2e per 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The analysis reveals the following major carbon hotspots for "kwrpnzzwft":</w:t>
      </w:r>
    </w:p>
    <w:p>
      <w:pPr>
        <w:numPr>
          <w:ilvl w:val="0"/>
          <w:numId w:val="1022"/>
        </w:numPr>
        <w:pStyle w:val="Compact"/>
      </w:pPr>
      <w:r>
        <w:rPr>
          <w:bCs/>
          <w:b/>
        </w:rPr>
        <w:t xml:space="preserve">Use Phase (14.00 kg CO2e):</w:t>
      </w:r>
      <w:r>
        <w:t xml:space="preserve"> </w:t>
      </w:r>
      <w:r>
        <w:t xml:space="preserve">This is the most significant contributor, primarily due to the energy consumption of the product over its 7-year lifespan, even with an average EU electricity mix.</w:t>
      </w:r>
    </w:p>
    <w:p>
      <w:pPr>
        <w:numPr>
          <w:ilvl w:val="0"/>
          <w:numId w:val="1022"/>
        </w:numPr>
        <w:pStyle w:val="Compact"/>
      </w:pPr>
      <w:r>
        <w:rPr>
          <w:bCs/>
          <w:b/>
        </w:rPr>
        <w:t xml:space="preserve">Materials (10.88 kg CO2e):</w:t>
      </w:r>
      <w:r>
        <w:t xml:space="preserve"> </w:t>
      </w:r>
      <w:r>
        <w:t xml:space="preserve">Upstream emissions from raw material acquisition and processing, particularly the Lithium-ion battery and the Printed Circuit Board, represent a substantial portion of the footprint.</w:t>
      </w:r>
    </w:p>
    <w:p>
      <w:pPr>
        <w:numPr>
          <w:ilvl w:val="0"/>
          <w:numId w:val="1022"/>
        </w:numPr>
        <w:pStyle w:val="Compact"/>
      </w:pPr>
      <w:r>
        <w:rPr>
          <w:bCs/>
          <w:b/>
        </w:rPr>
        <w:t xml:space="preserve">Production (1.08 kg CO2e):</w:t>
      </w:r>
      <w:r>
        <w:t xml:space="preserve"> </w:t>
      </w:r>
      <w:r>
        <w:t xml:space="preserve">While notable, the impact of the manufacturing facility\'s electricity is mitigated by 60% renewable energy usage.</w:t>
      </w:r>
    </w:p>
    <w:p>
      <w:pPr>
        <w:numPr>
          <w:ilvl w:val="0"/>
          <w:numId w:val="1022"/>
        </w:numPr>
        <w:pStyle w:val="Compact"/>
      </w:pPr>
      <w:r>
        <w:rPr>
          <w:bCs/>
          <w:b/>
        </w:rPr>
        <w:t xml:space="preserve">Transport (0.52 kg CO2e):</w:t>
      </w:r>
      <w:r>
        <w:t xml:space="preserve"> </w:t>
      </w:r>
      <w:r>
        <w:t xml:space="preserve">Transportation, while a necessary component, contributes a comparatively smaller percentage to the overall footprint.</w:t>
      </w:r>
    </w:p>
    <w:p>
      <w:pPr>
        <w:numPr>
          <w:ilvl w:val="0"/>
          <w:numId w:val="1022"/>
        </w:numPr>
        <w:pStyle w:val="Compact"/>
      </w:pPr>
      <w:r>
        <w:rPr>
          <w:bCs/>
          <w:b/>
        </w:rPr>
        <w:t xml:space="preserve">End-of-Life (-1.86 kg CO2e):</w:t>
      </w:r>
      <w:r>
        <w:t xml:space="preserve"> </w:t>
      </w:r>
      <w:r>
        <w:t xml:space="preserve">The robust recyclability and circular programs result in a net carbon credit, indicating effective waste management and material recovery.</w:t>
      </w:r>
    </w:p>
    <w:bookmarkEnd w:id="45"/>
    <w:bookmarkStart w:id="46" w:name="reliability-and-limitations"/>
    <w:p>
      <w:pPr>
        <w:pStyle w:val="Heading3"/>
      </w:pPr>
      <w:r>
        <w:t xml:space="preserve">Reliability and Limitations</w:t>
      </w:r>
    </w:p>
    <w:p>
      <w:pPr>
        <w:pStyle w:val="FirstParagraph"/>
      </w:pPr>
      <w:r>
        <w:t xml:space="preserve">This report is based on a high-detail analysis using provided and estimated parameters.</w:t>
      </w:r>
    </w:p>
    <w:p>
      <w:pPr>
        <w:numPr>
          <w:ilvl w:val="0"/>
          <w:numId w:val="1023"/>
        </w:numPr>
        <w:pStyle w:val="Compact"/>
      </w:pPr>
      <w:r>
        <w:rPr>
          <w:bCs/>
          <w:b/>
        </w:rPr>
        <w:t xml:space="preserve">Data Sources:</w:t>
      </w:r>
      <w:r>
        <w:t xml:space="preserve"> </w:t>
      </w:r>
      <w:r>
        <w:t xml:space="preserve">Emission factors are derived from industry-standard databases (e.g., Ecoinvent/DEFRA principles) and publicly available information.</w:t>
      </w:r>
    </w:p>
    <w:p>
      <w:pPr>
        <w:numPr>
          <w:ilvl w:val="0"/>
          <w:numId w:val="1023"/>
        </w:numPr>
        <w:pStyle w:val="Compact"/>
      </w:pPr>
      <w:r>
        <w:rPr>
          <w:bCs/>
          <w:b/>
        </w:rPr>
        <w:t xml:space="preserve">Assumptions:</w:t>
      </w:r>
      <w:r>
        <w:t xml:space="preserve"> </w:t>
      </w:r>
      <w:r>
        <w:t xml:space="preserve">Where specific data was not provided, reasonable assumptions have been made for material compositions, transport routes, and energy mixes.</w:t>
      </w:r>
    </w:p>
    <w:p>
      <w:pPr>
        <w:numPr>
          <w:ilvl w:val="0"/>
          <w:numId w:val="1023"/>
        </w:numPr>
        <w:pStyle w:val="Compact"/>
      </w:pPr>
      <w:r>
        <w:rPr>
          <w:bCs/>
          <w:b/>
        </w:rPr>
        <w:t xml:space="preserve">System Boundary Interpretation:</w:t>
      </w:r>
      <w:r>
        <w:t xml:space="preserve"> </w:t>
      </w:r>
      <w:r>
        <w:t xml:space="preserve">The adoption of a Cradle-to-End-of-Life boundary, while comprehensive, extends beyond a strict "factory_gate" definition, which was necessitated by the detailed parameter requirements.</w:t>
      </w:r>
    </w:p>
    <w:p>
      <w:pPr>
        <w:numPr>
          <w:ilvl w:val="0"/>
          <w:numId w:val="1023"/>
        </w:numPr>
        <w:pStyle w:val="Compact"/>
      </w:pPr>
      <w:r>
        <w:rPr>
          <w:bCs/>
          <w:b/>
        </w:rPr>
        <w:t xml:space="preserve">Scope 3 Coverage:</w:t>
      </w:r>
      <w:r>
        <w:t xml:space="preserve"> </w:t>
      </w:r>
      <w:r>
        <w:t xml:space="preserve">All relevant Scope 3 categories as per the GHG Protocol have been addressed, ensuring strong coverage as per 2026 requirements.</w:t>
      </w:r>
    </w:p>
    <w:p>
      <w:pPr>
        <w:numPr>
          <w:ilvl w:val="0"/>
          <w:numId w:val="1023"/>
        </w:numPr>
        <w:pStyle w:val="Compact"/>
      </w:pPr>
      <w:r>
        <w:rPr>
          <w:bCs/>
          <w:b/>
        </w:rPr>
        <w:t xml:space="preserve">LSR Standard:</w:t>
      </w:r>
      <w:r>
        <w:t xml:space="preserve"> </w:t>
      </w:r>
      <w:r>
        <w:t xml:space="preserve">The LSR Standard has been considered, but no direct product-level land use emissions or removals were identified for this product.</w:t>
      </w:r>
    </w:p>
    <w:bookmarkEnd w:id="46"/>
    <w:bookmarkStart w:id="47" w:name="recommendations-for-carbon-reduction"/>
    <w:p>
      <w:pPr>
        <w:pStyle w:val="Heading3"/>
      </w:pPr>
      <w:r>
        <w:t xml:space="preserve">Recommendations for Carbon Reduction</w:t>
      </w:r>
    </w:p>
    <w:p>
      <w:pPr>
        <w:pStyle w:val="FirstParagraph"/>
      </w:pPr>
      <w:r>
        <w:t xml:space="preserve">To reduce the carbon footprint of "kwrpnzzwft," nzvokntgsg should focus on the following key areas:</w:t>
      </w:r>
    </w:p>
    <w:p>
      <w:pPr>
        <w:numPr>
          <w:ilvl w:val="0"/>
          <w:numId w:val="1024"/>
        </w:numPr>
        <w:pStyle w:val="Compact"/>
      </w:pPr>
      <w:r>
        <w:rPr>
          <w:bCs/>
          <w:b/>
        </w:rPr>
        <w:t xml:space="preserve">Use Phase Optimization:</w:t>
      </w:r>
      <w:r>
        <w:t xml:space="preserve"> </w:t>
      </w:r>
      <w:r>
        <w:t xml:space="preserve">Invest in R&amp;D to enhance energy efficiency of the product during its operational lifespan. Explore lower-power components, optimize software for reduced consumption, or develop energy-saving modes.</w:t>
      </w:r>
    </w:p>
    <w:p>
      <w:pPr>
        <w:numPr>
          <w:ilvl w:val="0"/>
          <w:numId w:val="1024"/>
        </w:numPr>
        <w:pStyle w:val="Compact"/>
      </w:pPr>
      <w:r>
        <w:rPr>
          <w:bCs/>
          <w:b/>
        </w:rPr>
        <w:t xml:space="preserve">Material Decarbonization:</w:t>
      </w:r>
      <w:r>
        <w:t xml:space="preserve"> </w:t>
      </w:r>
      <w:r>
        <w:t xml:space="preserve">Engage with suppliers to source lower-carbon alternatives for high-impact materials, particularly batteries, PCBs, and plastics. This could involve using recycled content, materials with lower manufacturing emissions, or local sourcing to reduce transport.</w:t>
      </w:r>
    </w:p>
    <w:p>
      <w:pPr>
        <w:numPr>
          <w:ilvl w:val="0"/>
          <w:numId w:val="1024"/>
        </w:numPr>
        <w:pStyle w:val="Compact"/>
      </w:pPr>
      <w:r>
        <w:rPr>
          <w:bCs/>
          <w:b/>
        </w:rPr>
        <w:t xml:space="preserve">Renewable Energy Expansion:</w:t>
      </w:r>
      <w:r>
        <w:t xml:space="preserve"> </w:t>
      </w:r>
      <w:r>
        <w:t xml:space="preserve">Further increase the percentage of renewable energy used in the manufacturing facility, beyond the current 60%, to minimize Scope 2 emissions.</w:t>
      </w:r>
    </w:p>
    <w:p>
      <w:pPr>
        <w:numPr>
          <w:ilvl w:val="0"/>
          <w:numId w:val="1024"/>
        </w:numPr>
        <w:pStyle w:val="Compact"/>
      </w:pPr>
      <w:r>
        <w:rPr>
          <w:bCs/>
          <w:b/>
        </w:rPr>
        <w:t xml:space="preserve">Supply Chain Engagement:</w:t>
      </w:r>
      <w:r>
        <w:t xml:space="preserve"> </w:t>
      </w:r>
      <w:r>
        <w:t xml:space="preserve">Work with logistics partners to optimize transport routes, utilize more fuel-efficient modes (e.g., rail over road where feasible), and explore the use of alternative fuels with lower emissions.</w:t>
      </w:r>
    </w:p>
    <w:p>
      <w:pPr>
        <w:numPr>
          <w:ilvl w:val="0"/>
          <w:numId w:val="1024"/>
        </w:numPr>
        <w:pStyle w:val="Compact"/>
      </w:pPr>
      <w:r>
        <w:rPr>
          <w:bCs/>
          <w:b/>
        </w:rPr>
        <w:t xml:space="preserve">Circular Economy Enhancement:</w:t>
      </w:r>
      <w:r>
        <w:t xml:space="preserve"> </w:t>
      </w:r>
      <w:r>
        <w:t xml:space="preserve">Continue to invest in and expand circular/take-back programs to maximize recycling rates and minimize landfill waste, further increasing the net EoL credit.</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kwrpnzzwft</dc:title>
  <dc:creator/>
  <dc:description>High-detail Product Carbon Footprint (PCF) analysis for kwrpnzzwft, performed by Senior Sustainability Consultant qjrrdvxvqr for nzvokntgsg, adhering to GHG Protocol and 2026 LSR update.</dc:description>
  <dc:language>en</dc:language>
  <cp:keywords/>
  <dcterms:created xsi:type="dcterms:W3CDTF">2026-06-15T08:31:32Z</dcterms:created>
  <dcterms:modified xsi:type="dcterms:W3CDTF">2026-06-15T08:31:32Z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