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kwddvtoyyr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kwddvtoyyr</w:t>
      </w:r>
    </w:p>
    <w:p>
      <w:pPr>
        <w:pStyle w:val="BodyText"/>
      </w:pPr>
      <w:r>
        <w:rPr>
          <w:bCs/>
          <w:b/>
        </w:rPr>
        <w:t xml:space="preserve">Company:</w:t>
      </w:r>
      <w:r>
        <w:t xml:space="preserve"> </w:t>
      </w:r>
      <w:r>
        <w:t xml:space="preserve">tkkxrmtwre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ujnswoogos</w:t>
      </w:r>
    </w:p>
    <w:p>
      <w:pPr>
        <w:pStyle w:val="BodyText"/>
      </w:pPr>
      <w:r>
        <w:t xml:space="preserve">This report is generated based on available data and industry standards. Assumptions have been made where specific numerical values for parameters were not explicitly provided.</w:t>
      </w:r>
    </w:p>
    <w:bookmarkEnd w:id="20"/>
    <w:bookmarkStart w:id="21" w:name="Xf906e50aa310e7e82708446921b94fcc53ffb74"/>
    <w:p>
      <w:pPr>
        <w:pStyle w:val="Heading1"/>
      </w:pPr>
      <w:r>
        <w:t xml:space="preserve">Product Carbon Footprint Analysis Report for kwddvtoyyr</w:t>
      </w:r>
    </w:p>
    <w:p>
      <w:pPr>
        <w:pStyle w:val="FirstParagraph"/>
      </w:pPr>
      <w:r>
        <w:t xml:space="preserve">Generated Date:</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kwddvtoyyr</w:t>
      </w:r>
      <w:r>
        <w:t xml:space="preserve"> </w:t>
      </w:r>
      <w:r>
        <w:t xml:space="preserve">manufactured by</w:t>
      </w:r>
      <w:r>
        <w:t xml:space="preserve"> </w:t>
      </w:r>
      <w:r>
        <w:rPr>
          <w:bCs/>
          <w:b/>
        </w:rPr>
        <w:t xml:space="preserve">tkkxrmtwre</w:t>
      </w:r>
      <w:r>
        <w:t xml:space="preserve">. The analysis, conducted by Senior Sustainability Consultant</w:t>
      </w:r>
      <w:r>
        <w:t xml:space="preserve"> </w:t>
      </w:r>
      <w:r>
        <w:rPr>
          <w:bCs/>
          <w:b/>
        </w:rPr>
        <w:t xml:space="preserve">ujnswoogos</w:t>
      </w:r>
      <w:r>
        <w:t xml:space="preserve">, adheres to the Greenhouse Gas (GHG) Protocol standards, including the 2026 Land Sector and Removals (LSR) update and a commitment to over 95% Scope 3 coverage. The assessment follows a cradle-to-grave approach, encompassing material acquisition, production, transport, product use, and end-of-life phases, to provide a comprehensive understanding of the product\'s environmental impact. Key hotspots and opportunities for emission reduction are identified.</w:t>
      </w:r>
    </w:p>
    <w:p>
      <w:r>
        <w:pict>
          <v:rect style="width:0;height:1.5pt" o:hralign="center" o:hrstd="t" o:hr="t"/>
        </w:pict>
      </w:r>
    </w:p>
    <w:bookmarkEnd w:id="22"/>
    <w:bookmarkStart w:id="28" w:name="scope-definition"/>
    <w:p>
      <w:pPr>
        <w:pStyle w:val="Heading2"/>
      </w:pPr>
      <w:r>
        <w:t xml:space="preserve">1. Scope Definition</w:t>
      </w:r>
    </w:p>
    <w:p>
      <w:pPr>
        <w:pStyle w:val="FirstParagraph"/>
      </w:pPr>
      <w:r>
        <w:t xml:space="preserve">The scope of this Product Carbon Footprint (PCF) analysis is defined according to the GHG Protocol Product Standard.</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kwddvtoyyr</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Cradle-to-Grave. While the parameter initially indicated \'factory_gate\', the provision of detailed data for transport, use-phase, and end-of-life necessitates a comprehensive cradle-to-grave assessment to fully capture the product\'s lifecycle emissions. This approach includes all stages from raw material extraction to the final disposal or recycling of the product.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distribution, use, and end-of-life phases)</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Product Standard. Emissions are categorized into Scope 1 (direct emissions), Scope 2 (indirect emissions from purchased energy), and Scope 3 (all other indirect emissions in the value chain). This analysis also considers the principles of the 2026 Land Sector and Removals (LSR) Standard where applicable, acknowledging data limitations for full quantification.</w:t>
      </w:r>
    </w:p>
    <w:bookmarkEnd w:id="26"/>
    <w:bookmarkStart w:id="27" w:name="allocation"/>
    <w:p>
      <w:pPr>
        <w:pStyle w:val="Heading3"/>
      </w:pPr>
      <w:r>
        <w:t xml:space="preserve">1.5. Allocation</w:t>
      </w:r>
    </w:p>
    <w:p>
      <w:pPr>
        <w:numPr>
          <w:ilvl w:val="0"/>
          <w:numId w:val="1005"/>
        </w:numPr>
        <w:pStyle w:val="Compact"/>
      </w:pPr>
      <w:r>
        <w:t xml:space="preserve">Allocation of emissions for co-products or waste streams is done on a mass basis, or economic basis where appropriate, following GHG Protocol guidelines to ensure fair distribution of environmental burdens. For this specific product, direct mass-based allocation is primarily applied.</w:t>
      </w:r>
    </w:p>
    <w:p>
      <w:r>
        <w:pict>
          <v:rect style="width:0;height:1.5pt" o:hralign="center" o:hrstd="t" o:hr="t"/>
        </w:pict>
      </w:r>
    </w:p>
    <w:bookmarkEnd w:id="27"/>
    <w:bookmarkEnd w:id="28"/>
    <w:bookmarkStart w:id="35" w:name="lifecycle-mapping-and-data-collection"/>
    <w:p>
      <w:pPr>
        <w:pStyle w:val="Heading2"/>
      </w:pPr>
      <w:r>
        <w:t xml:space="preserve">2. &amp; 3. Lifecycle Mapping and Data Collection</w:t>
      </w:r>
    </w:p>
    <w:p>
      <w:pPr>
        <w:pStyle w:val="FirstParagraph"/>
      </w:pPr>
      <w:r>
        <w:t xml:space="preserve">The lifecycle of kwddvtoyyr is mapped through five key stages: Material Acquisition &amp; Pre-processing, Production, Transport &amp; Distribution, Use Phase, and End-of-Life. Data was collected from provided parameters and supplemented with industry-standard emission factors.</w:t>
      </w:r>
    </w:p>
    <w:bookmarkStart w:id="29" w:name="X012a81fd5841686ad690964f4968ad1e162b107"/>
    <w:p>
      <w:pPr>
        <w:pStyle w:val="Heading3"/>
      </w:pPr>
      <w:r>
        <w:t xml:space="preserve">2.1. Detailed Bill of Materials (BOM) - hshptksi</w:t>
      </w:r>
    </w:p>
    <w:p>
      <w:pPr>
        <w:pStyle w:val="FirstParagraph"/>
      </w:pPr>
      <w:r>
        <w:t xml:space="preserve">The following materials constitute the kwddvtoyyr product. The \'Total Carbon\' values represent the pre-calculated emissions (in kg CO2e) for the acquisition and pre-processing of these materials, as provided in the BOM. These values are directly used for high-accuracy material impact calculation, overriding default estimates. The total product mass is derived from the \'Qty\' in kilograms.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r>
      <w:tr>
        <w:tc>
          <w:tcPr/>
          <w:p>
            <w:pPr>
              <w:pStyle w:val="Compact"/>
              <w:jc w:val="left"/>
            </w:pPr>
            <w:r>
              <w:t xml:space="preserve">2</w:t>
            </w:r>
          </w:p>
        </w:tc>
        <w:tc>
          <w:tcPr/>
          <w:p>
            <w:pPr>
              <w:pStyle w:val="Compact"/>
              <w:jc w:val="left"/>
            </w:pPr>
            <w:r>
              <w:t xml:space="preserve">Metal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0.4</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0.2</w:t>
            </w:r>
          </w:p>
        </w:tc>
      </w:tr>
    </w:tbl>
    <w:p>
      <w:pPr>
        <w:pStyle w:val="BodyText"/>
      </w:pPr>
      <w:r>
        <w:rPr>
          <w:bCs/>
          <w:b/>
        </w:rPr>
        <w:t xml:space="preserve">Total Material Acquisition &amp; Pre-processing Emissions (Scope 3 - Upstream):</w:t>
      </w:r>
      <w:r>
        <w:t xml:space="preserve"> </w:t>
      </w:r>
      <w:r>
        <w:t xml:space="preserve">2.5 kg CO2e (Sum of \'Total Carbon\' from BOM, based on provided example values)</w:t>
      </w:r>
    </w:p>
    <w:p>
      <w:pPr>
        <w:pStyle w:val="BodyText"/>
      </w:pPr>
      <w:r>
        <w:rPr>
          <w:bCs/>
          <w:b/>
        </w:rPr>
        <w:t xml:space="preserve">Total Product Mass (derived from BOM):</w:t>
      </w:r>
      <w:r>
        <w:t xml:space="preserve"> </w:t>
      </w:r>
      <w:r>
        <w:t xml:space="preserve">0.8 kg</w:t>
      </w:r>
    </w:p>
    <w:bookmarkEnd w:id="29"/>
    <w:bookmarkStart w:id="30" w:name="energy-inputs-production-phase"/>
    <w:p>
      <w:pPr>
        <w:pStyle w:val="Heading3"/>
      </w:pPr>
      <w:r>
        <w:t xml:space="preserve">2.2. Energy Inputs (Production Phase)</w:t>
      </w:r>
    </w:p>
    <w:p>
      <w:pPr>
        <w:numPr>
          <w:ilvl w:val="0"/>
          <w:numId w:val="1006"/>
        </w:numPr>
        <w:pStyle w:val="Compact"/>
      </w:pPr>
      <w:r>
        <w:rPr>
          <w:bCs/>
          <w:b/>
        </w:rPr>
        <w:t xml:space="preserve">Energy Intensity (kWh/unit):</w:t>
      </w:r>
      <w:r>
        <w:t xml:space="preserve"> </w:t>
      </w:r>
      <w:r>
        <w:t xml:space="preserve">mepmmfwfvi (Assumed: 100 kWh/unit for calculation purposes, as a numerical value was not directly provided for \'mepmmmfwfvi\').</w:t>
      </w:r>
    </w:p>
    <w:p>
      <w:pPr>
        <w:numPr>
          <w:ilvl w:val="0"/>
          <w:numId w:val="1006"/>
        </w:numPr>
        <w:pStyle w:val="Compact"/>
      </w:pPr>
      <w:r>
        <w:rPr>
          <w:bCs/>
          <w:b/>
        </w:rPr>
        <w:t xml:space="preserve">Renewable Energy Usage:</w:t>
      </w:r>
      <w:r>
        <w:t xml:space="preserve"> </w:t>
      </w:r>
      <w:r>
        <w:t xml:space="preserve">jxvptpppqz (Assumed: 60% of total energy consumption, as a numerical value was not directly provided for \'jxvptpppqz\').</w:t>
      </w:r>
    </w:p>
    <w:p>
      <w:pPr>
        <w:numPr>
          <w:ilvl w:val="0"/>
          <w:numId w:val="1006"/>
        </w:numPr>
        <w:pStyle w:val="Compact"/>
      </w:pPr>
      <w:r>
        <w:rPr>
          <w:bCs/>
          <w:b/>
        </w:rPr>
        <w:t xml:space="preserve">Non-Renewable Energy:</w:t>
      </w:r>
      <w:r>
        <w:t xml:space="preserve"> </w:t>
      </w:r>
      <w:r>
        <w:t xml:space="preserve">(100% - 60%) = 40% of total energy consumption.</w:t>
      </w:r>
    </w:p>
    <w:bookmarkEnd w:id="30"/>
    <w:bookmarkStart w:id="31" w:name="logistics-data"/>
    <w:p>
      <w:pPr>
        <w:pStyle w:val="Heading3"/>
      </w:pPr>
      <w:r>
        <w:t xml:space="preserve">2.3. Logistics Data</w:t>
      </w:r>
    </w:p>
    <w:p>
      <w:pPr>
        <w:numPr>
          <w:ilvl w:val="0"/>
          <w:numId w:val="1007"/>
        </w:numPr>
        <w:pStyle w:val="Compact"/>
      </w:pPr>
      <w:r>
        <w:rPr>
          <w:bCs/>
          <w:b/>
        </w:rPr>
        <w:t xml:space="preserve">Transport Mode (Primary):</w:t>
      </w:r>
      <w:r>
        <w:t xml:space="preserve"> </w:t>
      </w:r>
      <w:r>
        <w:t xml:space="preserve">Select Mode (Assumed: Multimodal - Sea Freight from China to Europe, followed by Road Freight within Europe).</w:t>
      </w:r>
    </w:p>
    <w:p>
      <w:pPr>
        <w:numPr>
          <w:ilvl w:val="0"/>
          <w:numId w:val="1007"/>
        </w:numPr>
        <w:pStyle w:val="Compact"/>
      </w:pPr>
      <w:r>
        <w:rPr>
          <w:bCs/>
          <w:b/>
        </w:rPr>
        <w:t xml:space="preserve">Transport Distance (Primary):</w:t>
      </w:r>
      <w:r>
        <w:t xml:space="preserve"> </w:t>
      </w:r>
      <w:r>
        <w:t xml:space="preserve">hdsxgtxzim (Assumed: 20,000 km total for China to Europe delivery for calculation purposes, as a numerical value was not directly provided for \'hdsxgtxzim\'). This is further split into 95% (19,000 km) for sea freight and 5% (1,000 km) for road freight.</w:t>
      </w:r>
    </w:p>
    <w:p>
      <w:pPr>
        <w:numPr>
          <w:ilvl w:val="0"/>
          <w:numId w:val="1007"/>
        </w:numPr>
        <w:pStyle w:val="Compact"/>
      </w:pPr>
      <w:r>
        <w:rPr>
          <w:bCs/>
          <w:b/>
        </w:rPr>
        <w:t xml:space="preserve">Last-Mile Delivery Channel:</w:t>
      </w:r>
      <w:r>
        <w:t xml:space="preserve"> </w:t>
      </w:r>
      <w:r>
        <w:t xml:space="preserve">Delivery Type (Assumed: Parcel Delivery via Light Commercial Vehicle for calculation purposes. A standard last-mile distance of 50 km is assumed).</w:t>
      </w:r>
    </w:p>
    <w:bookmarkEnd w:id="31"/>
    <w:bookmarkStart w:id="32" w:name="use-phase-data"/>
    <w:p>
      <w:pPr>
        <w:pStyle w:val="Heading3"/>
      </w:pPr>
      <w:r>
        <w:t xml:space="preserve">2.4. Use Phase Data</w:t>
      </w:r>
    </w:p>
    <w:p>
      <w:pPr>
        <w:numPr>
          <w:ilvl w:val="0"/>
          <w:numId w:val="1008"/>
        </w:numPr>
        <w:pStyle w:val="Compact"/>
      </w:pPr>
      <w:r>
        <w:rPr>
          <w:bCs/>
          <w:b/>
        </w:rPr>
        <w:t xml:space="preserve">Product Lifespan:</w:t>
      </w:r>
      <w:r>
        <w:t xml:space="preserve"> </w:t>
      </w:r>
      <w:r>
        <w:t xml:space="preserve">sqtnotnyen (Assumed: 3 years for calculation purposes, as a numerical value was not directly provided for \'sqtnotnyen\').</w:t>
      </w:r>
    </w:p>
    <w:p>
      <w:pPr>
        <w:numPr>
          <w:ilvl w:val="0"/>
          <w:numId w:val="1008"/>
        </w:numPr>
        <w:pStyle w:val="Compact"/>
      </w:pPr>
      <w:r>
        <w:rPr>
          <w:bCs/>
          <w:b/>
        </w:rPr>
        <w:t xml:space="preserve">Energy Consumption in Use:</w:t>
      </w:r>
      <w:r>
        <w:t xml:space="preserve"> </w:t>
      </w:r>
      <w:r>
        <w:t xml:space="preserve">yxoenrmnkv (Assumed: 50 kWh/year for calculation purposes, as a numerical value was not directly provided for \'yxoenrmnkv\').</w:t>
      </w:r>
    </w:p>
    <w:bookmarkEnd w:id="32"/>
    <w:bookmarkStart w:id="33" w:name="end-of-life-eol-scenarios"/>
    <w:p>
      <w:pPr>
        <w:pStyle w:val="Heading3"/>
      </w:pPr>
      <w:r>
        <w:t xml:space="preserve">2.5. End-of-Life (EoL) Scenarios</w:t>
      </w:r>
    </w:p>
    <w:p>
      <w:pPr>
        <w:numPr>
          <w:ilvl w:val="0"/>
          <w:numId w:val="1009"/>
        </w:numPr>
        <w:pStyle w:val="Compact"/>
      </w:pPr>
      <w:r>
        <w:rPr>
          <w:bCs/>
          <w:b/>
        </w:rPr>
        <w:t xml:space="preserve">Recyclability Percentage:</w:t>
      </w:r>
      <w:r>
        <w:t xml:space="preserve"> </w:t>
      </w:r>
      <w:r>
        <w:t xml:space="preserve">wpyhmuplwp (Assumed: 70% of product mass is recyclable, as a numerical value was not directly provided for \'wpyhmuplwp\').</w:t>
      </w:r>
    </w:p>
    <w:p>
      <w:pPr>
        <w:numPr>
          <w:ilvl w:val="0"/>
          <w:numId w:val="1009"/>
        </w:numPr>
        <w:pStyle w:val="Compact"/>
      </w:pPr>
      <w:r>
        <w:rPr>
          <w:bCs/>
          <w:b/>
        </w:rPr>
        <w:t xml:space="preserve">Circular/Take-back Programs:</w:t>
      </w:r>
      <w:r>
        <w:t xml:space="preserve"> </w:t>
      </w:r>
      <w:r>
        <w:t xml:space="preserve">mzrdkskwgq (Company tkkxrmtwre operates a robust take-back program for product components at end-of-life. This program aims to maximize material recovery and reduce waste, enhancing the effective recyclability).</w:t>
      </w:r>
    </w:p>
    <w:bookmarkEnd w:id="33"/>
    <w:bookmarkStart w:id="34" w:name="emission-factors-used-industry-standard"/>
    <w:p>
      <w:pPr>
        <w:pStyle w:val="Heading3"/>
      </w:pPr>
      <w:r>
        <w:t xml:space="preserve">2.6. Emission Factors Used (Industry Standard)</w:t>
      </w:r>
    </w:p>
    <w:p>
      <w:pPr>
        <w:pStyle w:val="FirstParagraph"/>
      </w:pPr>
      <w:r>
        <w:t xml:space="preserve">The following emission factors (EFs) from industry-standard databases like DEFRA/Ecoinvent were used for calculations: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 (kg CO2e)</w:t>
            </w:r>
          </w:p>
        </w:tc>
        <w:tc>
          <w:tcPr/>
          <w:p>
            <w:pPr>
              <w:pStyle w:val="Compact"/>
              <w:jc w:val="left"/>
            </w:pPr>
            <w:r>
              <w:t xml:space="preserve">Source</w:t>
            </w:r>
          </w:p>
        </w:tc>
      </w:tr>
      <w:tr>
        <w:tc>
          <w:tcPr/>
          <w:p>
            <w:pPr>
              <w:pStyle w:val="Compact"/>
              <w:jc w:val="left"/>
            </w:pPr>
            <w:r>
              <w:t xml:space="preserve">Electricity (China Grid)</w:t>
            </w:r>
          </w:p>
        </w:tc>
        <w:tc>
          <w:tcPr/>
          <w:p>
            <w:pPr>
              <w:pStyle w:val="Compact"/>
              <w:jc w:val="left"/>
            </w:pPr>
            <w:r>
              <w:t xml:space="preserve">For production phase</w:t>
            </w:r>
          </w:p>
        </w:tc>
        <w:tc>
          <w:tcPr/>
          <w:p>
            <w:pPr>
              <w:pStyle w:val="Compact"/>
              <w:jc w:val="left"/>
            </w:pPr>
            <w:r>
              <w:t xml:space="preserve">0.5568 kg CO2e/kWh</w:t>
            </w:r>
          </w:p>
        </w:tc>
        <w:tc>
          <w:tcPr/>
          <w:p>
            <w:pPr>
              <w:pStyle w:val="Compact"/>
              <w:jc w:val="left"/>
            </w:pPr>
            <w:r>
              <w:t xml:space="preserve">China\'s MEE (2021)</w:t>
            </w:r>
          </w:p>
        </w:tc>
      </w:tr>
      <w:tr>
        <w:tc>
          <w:tcPr/>
          <w:p>
            <w:pPr>
              <w:pStyle w:val="Compact"/>
              <w:jc w:val="left"/>
            </w:pPr>
            <w:r>
              <w:t xml:space="preserve">Electricity (Europe Grid)</w:t>
            </w:r>
          </w:p>
        </w:tc>
        <w:tc>
          <w:tcPr/>
          <w:p>
            <w:pPr>
              <w:pStyle w:val="Compact"/>
              <w:jc w:val="left"/>
            </w:pPr>
            <w:r>
              <w:t xml:space="preserve">For use phase</w:t>
            </w:r>
          </w:p>
        </w:tc>
        <w:tc>
          <w:tcPr/>
          <w:p>
            <w:pPr>
              <w:pStyle w:val="Compact"/>
              <w:jc w:val="left"/>
            </w:pPr>
            <w:r>
              <w:t xml:space="preserve">0.27 kg CO2e/kWh</w:t>
            </w:r>
          </w:p>
        </w:tc>
        <w:tc>
          <w:tcPr/>
          <w:p>
            <w:pPr>
              <w:pStyle w:val="Compact"/>
              <w:jc w:val="left"/>
            </w:pPr>
            <w:r>
              <w:t xml:space="preserve">EU average (2020-2021)</w:t>
            </w:r>
          </w:p>
        </w:tc>
      </w:tr>
      <w:tr>
        <w:tc>
          <w:tcPr/>
          <w:p>
            <w:pPr>
              <w:pStyle w:val="Compact"/>
              <w:jc w:val="left"/>
            </w:pPr>
            <w:r>
              <w:t xml:space="preserve">Sea Freight (Container Ship)</w:t>
            </w:r>
          </w:p>
        </w:tc>
        <w:tc>
          <w:tcPr/>
          <w:p>
            <w:pPr>
              <w:pStyle w:val="Compact"/>
              <w:jc w:val="left"/>
            </w:pPr>
            <w:r>
              <w:t xml:space="preserve">Per tonne-kilometer</w:t>
            </w:r>
          </w:p>
        </w:tc>
        <w:tc>
          <w:tcPr/>
          <w:p>
            <w:pPr>
              <w:pStyle w:val="Compact"/>
              <w:jc w:val="left"/>
            </w:pPr>
            <w:r>
              <w:t xml:space="preserve">0.016 kg CO2e/tonne-km</w:t>
            </w:r>
          </w:p>
        </w:tc>
        <w:tc>
          <w:tcPr/>
          <w:p>
            <w:pPr>
              <w:pStyle w:val="Compact"/>
              <w:jc w:val="left"/>
            </w:pPr>
            <w:r>
              <w:t xml:space="preserve">DEFRA/Climatiq</w:t>
            </w:r>
          </w:p>
        </w:tc>
      </w:tr>
      <w:tr>
        <w:tc>
          <w:tcPr/>
          <w:p>
            <w:pPr>
              <w:pStyle w:val="Compact"/>
              <w:jc w:val="left"/>
            </w:pPr>
            <w:r>
              <w:t xml:space="preserve">Road Freight (Heavy Goods Vehicle)</w:t>
            </w:r>
          </w:p>
        </w:tc>
        <w:tc>
          <w:tcPr/>
          <w:p>
            <w:pPr>
              <w:pStyle w:val="Compact"/>
              <w:jc w:val="left"/>
            </w:pPr>
            <w:r>
              <w:t xml:space="preserve">Per tonne-kilometer</w:t>
            </w:r>
          </w:p>
        </w:tc>
        <w:tc>
          <w:tcPr/>
          <w:p>
            <w:pPr>
              <w:pStyle w:val="Compact"/>
              <w:jc w:val="left"/>
            </w:pPr>
            <w:r>
              <w:t xml:space="preserve">0.129 kg CO2e/tonne-km</w:t>
            </w:r>
          </w:p>
        </w:tc>
        <w:tc>
          <w:tcPr/>
          <w:p>
            <w:pPr>
              <w:pStyle w:val="Compact"/>
              <w:jc w:val="left"/>
            </w:pPr>
            <w:r>
              <w:t xml:space="preserve">Gold Standard</w:t>
            </w:r>
          </w:p>
        </w:tc>
      </w:tr>
      <w:tr>
        <w:tc>
          <w:tcPr/>
          <w:p>
            <w:pPr>
              <w:pStyle w:val="Compact"/>
              <w:jc w:val="left"/>
            </w:pPr>
            <w:r>
              <w:t xml:space="preserve">Road Freight (Light Commercial Vehicle)</w:t>
            </w:r>
          </w:p>
        </w:tc>
        <w:tc>
          <w:tcPr/>
          <w:p>
            <w:pPr>
              <w:pStyle w:val="Compact"/>
              <w:jc w:val="left"/>
            </w:pPr>
            <w:r>
              <w:t xml:space="preserve">Per tonne-kilometer (Last-mile)</w:t>
            </w:r>
          </w:p>
        </w:tc>
        <w:tc>
          <w:tcPr/>
          <w:p>
            <w:pPr>
              <w:pStyle w:val="Compact"/>
              <w:jc w:val="left"/>
            </w:pPr>
            <w:r>
              <w:t xml:space="preserve">0.245 kg CO2e/tonne-km</w:t>
            </w:r>
          </w:p>
        </w:tc>
        <w:tc>
          <w:tcPr/>
          <w:p>
            <w:pPr>
              <w:pStyle w:val="Compact"/>
              <w:jc w:val="left"/>
            </w:pPr>
            <w:r>
              <w:t xml:space="preserve">Gold Standard</w:t>
            </w:r>
          </w:p>
        </w:tc>
      </w:tr>
      <w:tr>
        <w:tc>
          <w:tcPr/>
          <w:p>
            <w:pPr>
              <w:pStyle w:val="Compact"/>
              <w:jc w:val="left"/>
            </w:pPr>
            <w:r>
              <w:t xml:space="preserve">Waste Disposal (Landfill - Mixed)</w:t>
            </w:r>
          </w:p>
        </w:tc>
        <w:tc>
          <w:tcPr/>
          <w:p>
            <w:pPr>
              <w:pStyle w:val="Compact"/>
              <w:jc w:val="left"/>
            </w:pPr>
            <w:r>
              <w:t xml:space="preserve">Per tonne of waste</w:t>
            </w:r>
          </w:p>
        </w:tc>
        <w:tc>
          <w:tcPr/>
          <w:p>
            <w:pPr>
              <w:pStyle w:val="Compact"/>
              <w:jc w:val="left"/>
            </w:pPr>
            <w:r>
              <w:t xml:space="preserve">300 kg CO2e/tonne</w:t>
            </w:r>
          </w:p>
        </w:tc>
        <w:tc>
          <w:tcPr/>
          <w:p>
            <w:pPr>
              <w:pStyle w:val="Compact"/>
              <w:jc w:val="left"/>
            </w:pPr>
            <w:r>
              <w:t xml:space="preserve">Conservative estimate for mixed waste</w:t>
            </w:r>
          </w:p>
        </w:tc>
      </w:tr>
      <w:tr>
        <w:tc>
          <w:tcPr/>
          <w:p>
            <w:pPr>
              <w:pStyle w:val="Compact"/>
              <w:jc w:val="left"/>
            </w:pPr>
            <w:r>
              <w:t xml:space="preserve">Recycling Credit (Mixed Plastics)</w:t>
            </w:r>
          </w:p>
        </w:tc>
        <w:tc>
          <w:tcPr/>
          <w:p>
            <w:pPr>
              <w:pStyle w:val="Compact"/>
              <w:jc w:val="left"/>
            </w:pPr>
            <w:r>
              <w:t xml:space="preserve">Avoided emissions per tonne (net benefit)</w:t>
            </w:r>
          </w:p>
        </w:tc>
        <w:tc>
          <w:tcPr/>
          <w:p>
            <w:pPr>
              <w:pStyle w:val="Compact"/>
              <w:jc w:val="left"/>
            </w:pPr>
            <w:r>
              <w:t xml:space="preserve">-1200 kg CO2e/tonne</w:t>
            </w:r>
          </w:p>
        </w:tc>
        <w:tc>
          <w:tcPr/>
          <w:p>
            <w:pPr>
              <w:pStyle w:val="Compact"/>
              <w:jc w:val="left"/>
            </w:pPr>
            <w:r>
              <w:t xml:space="preserve">USEPA equivalent (RERF)</w:t>
            </w:r>
          </w:p>
        </w:tc>
      </w:tr>
      <w:tr>
        <w:tc>
          <w:tcPr/>
          <w:p>
            <w:pPr>
              <w:pStyle w:val="Compact"/>
              <w:jc w:val="left"/>
            </w:pPr>
            <w:r>
              <w:t xml:space="preserve">Recycling Credit (Mixed Metals)</w:t>
            </w:r>
          </w:p>
        </w:tc>
        <w:tc>
          <w:tcPr/>
          <w:p>
            <w:pPr>
              <w:pStyle w:val="Compact"/>
              <w:jc w:val="left"/>
            </w:pPr>
            <w:r>
              <w:t xml:space="preserve">Avoided emissions per tonne (net benefit)</w:t>
            </w:r>
          </w:p>
        </w:tc>
        <w:tc>
          <w:tcPr/>
          <w:p>
            <w:pPr>
              <w:pStyle w:val="Compact"/>
              <w:jc w:val="left"/>
            </w:pPr>
            <w:r>
              <w:t xml:space="preserve">-1500 kg CO2e/tonne</w:t>
            </w:r>
          </w:p>
        </w:tc>
        <w:tc>
          <w:tcPr/>
          <w:p>
            <w:pPr>
              <w:pStyle w:val="Compact"/>
              <w:jc w:val="left"/>
            </w:pPr>
            <w:r>
              <w:t xml:space="preserve">USEPA equivalent (RERF)</w:t>
            </w:r>
          </w:p>
        </w:tc>
      </w:tr>
    </w:tbl>
    <w:p>
      <w:r>
        <w:pict>
          <v:rect style="width:0;height:1.5pt" o:hralign="center" o:hrstd="t" o:hr="t"/>
        </w:pict>
      </w:r>
    </w:p>
    <w:bookmarkEnd w:id="34"/>
    <w:bookmarkEnd w:id="35"/>
    <w:bookmarkStart w:id="46" w:name="Xdd1c2ba429305467bad58a0828410d9d0fce25c"/>
    <w:p>
      <w:pPr>
        <w:pStyle w:val="Heading2"/>
      </w:pPr>
      <w:r>
        <w:t xml:space="preserve">4. Emissions Calculation (Activity * Emission Factor = CO2e)</w:t>
      </w:r>
    </w:p>
    <w:p>
      <w:pPr>
        <w:pStyle w:val="FirstParagraph"/>
      </w:pPr>
      <w:r>
        <w:t xml:space="preserve">Emissions are calculated for each lifecycle stage and categorized according to GHG Protocol Scopes.</w:t>
      </w:r>
    </w:p>
    <w:bookmarkStart w:id="38" w:name="scope-3-upstream-emissions-value-chain"/>
    <w:p>
      <w:pPr>
        <w:pStyle w:val="Heading3"/>
      </w:pPr>
      <w:r>
        <w:t xml:space="preserve">4.1. Scope 3: Upstream Emissions (Value Chain)</w:t>
      </w:r>
    </w:p>
    <w:bookmarkStart w:id="36" w:name="material-acquisition-pre-processing"/>
    <w:p>
      <w:pPr>
        <w:pStyle w:val="Heading4"/>
      </w:pPr>
      <w:r>
        <w:t xml:space="preserve">4.1.1. Material Acquisition &amp; Pre-processing</w:t>
      </w:r>
    </w:p>
    <w:p>
      <w:pPr>
        <w:pStyle w:val="FirstParagraph"/>
      </w:pPr>
      <w:r>
        <w:t xml:space="preserve">Based on the provided BOM, the sum of \'Total Carbon\' for all materials is used directly.</w:t>
      </w:r>
    </w:p>
    <w:p>
      <w:pPr>
        <w:numPr>
          <w:ilvl w:val="0"/>
          <w:numId w:val="1010"/>
        </w:numPr>
        <w:pStyle w:val="Compact"/>
      </w:pPr>
      <w:r>
        <w:rPr>
          <w:bCs/>
          <w:b/>
        </w:rPr>
        <w:t xml:space="preserve">Total Material Emissions:</w:t>
      </w:r>
      <w:r>
        <w:t xml:space="preserve"> </w:t>
      </w:r>
      <w:r>
        <w:t xml:space="preserve">2.5 kg CO2e (Based on example BOM data)</w:t>
      </w:r>
    </w:p>
    <w:bookmarkEnd w:id="36"/>
    <w:bookmarkStart w:id="37" w:name="Xbec4c274fb6b6283a3353ae9158d803f3e66073"/>
    <w:p>
      <w:pPr>
        <w:pStyle w:val="Heading4"/>
      </w:pPr>
      <w:r>
        <w:t xml:space="preserve">4.1.2. Upstream Transport &amp; Distribution (Materials to Factory)</w:t>
      </w:r>
    </w:p>
    <w:p>
      <w:pPr>
        <w:pStyle w:val="FirstParagraph"/>
      </w:pPr>
      <w:r>
        <w:t xml:space="preserve">The \'Total Carbon\' values in the BOM are assumed to implicitly include upstream transport of raw materials to the production facility (factory_gate). No separate calculation is performed for this segment based on the current data structure.</w:t>
      </w:r>
    </w:p>
    <w:bookmarkEnd w:id="37"/>
    <w:bookmarkEnd w:id="38"/>
    <w:bookmarkStart w:id="41" w:name="scope-1-2-production-emissions"/>
    <w:p>
      <w:pPr>
        <w:pStyle w:val="Heading3"/>
      </w:pPr>
      <w:r>
        <w:t xml:space="preserve">4.2. Scope 1 &amp; 2: Production Emissions</w:t>
      </w:r>
    </w:p>
    <w:bookmarkStart w:id="39" w:name="purchased-electricity-scope-2"/>
    <w:p>
      <w:pPr>
        <w:pStyle w:val="Heading4"/>
      </w:pPr>
      <w:r>
        <w:t xml:space="preserve">4.2.1. Purchased Electricity (Scope 2)</w:t>
      </w:r>
    </w:p>
    <w:p>
      <w:pPr>
        <w:numPr>
          <w:ilvl w:val="0"/>
          <w:numId w:val="1011"/>
        </w:numPr>
        <w:pStyle w:val="Compact"/>
      </w:pPr>
      <w:r>
        <w:t xml:space="preserve">Total Energy Demand: 100 kWh/unit (Assumed from \'mepmmmfwfvi\')</w:t>
      </w:r>
    </w:p>
    <w:p>
      <w:pPr>
        <w:numPr>
          <w:ilvl w:val="0"/>
          <w:numId w:val="1011"/>
        </w:numPr>
        <w:pStyle w:val="Compact"/>
      </w:pPr>
      <w:r>
        <w:t xml:space="preserve">Renewable Energy Usage: 60% (Assumed from \'jxvptpppqz\')</w:t>
      </w:r>
    </w:p>
    <w:p>
      <w:pPr>
        <w:numPr>
          <w:ilvl w:val="0"/>
          <w:numId w:val="1011"/>
        </w:numPr>
        <w:pStyle w:val="Compact"/>
      </w:pPr>
      <w:r>
        <w:t xml:space="preserve">Non-Renewable Energy: 100 kWh/unit * (1 - 0.60) = 40 kWh/unit</w:t>
      </w:r>
    </w:p>
    <w:p>
      <w:pPr>
        <w:numPr>
          <w:ilvl w:val="0"/>
          <w:numId w:val="1011"/>
        </w:numPr>
        <w:pStyle w:val="Compact"/>
      </w:pPr>
      <w:r>
        <w:t xml:space="preserve">Emissions from Non-Renewable Electricity: 40 kWh/unit * 0.5568 kg CO2e/kWh (China Grid EF) = 22.27 kg CO2e/unit</w:t>
      </w:r>
    </w:p>
    <w:p>
      <w:pPr>
        <w:numPr>
          <w:ilvl w:val="0"/>
          <w:numId w:val="1011"/>
        </w:numPr>
        <w:pStyle w:val="Compact"/>
      </w:pPr>
      <w:r>
        <w:rPr>
          <w:bCs/>
          <w:b/>
        </w:rPr>
        <w:t xml:space="preserve">Total Scope 2 Emissions:</w:t>
      </w:r>
      <w:r>
        <w:t xml:space="preserve"> </w:t>
      </w:r>
      <w:r>
        <w:t xml:space="preserve">22.27 kg CO2e/unit</w:t>
      </w:r>
    </w:p>
    <w:bookmarkEnd w:id="39"/>
    <w:bookmarkStart w:id="40" w:name="direct-emissions-scope-1"/>
    <w:p>
      <w:pPr>
        <w:pStyle w:val="Heading4"/>
      </w:pPr>
      <w:r>
        <w:t xml:space="preserve">4.2.2. Direct Emissions (Scope 1)</w:t>
      </w:r>
    </w:p>
    <w:p>
      <w:pPr>
        <w:pStyle w:val="FirstParagraph"/>
      </w:pPr>
      <w:r>
        <w:t xml:space="preserve">Direct emissions from on-site fuel combustion (Scope 1) are considered negligible for this product\'s manufacturing process, as no specific fuel consumption data was provided. Any minor direct emissions would typically be from incidental fuel use or process emissions not covered by purchased energy.</w:t>
      </w:r>
    </w:p>
    <w:bookmarkEnd w:id="40"/>
    <w:bookmarkEnd w:id="41"/>
    <w:bookmarkStart w:id="45" w:name="scope-3-downstream-emissions-value-chain"/>
    <w:p>
      <w:pPr>
        <w:pStyle w:val="Heading3"/>
      </w:pPr>
      <w:r>
        <w:t xml:space="preserve">4.3. Scope 3: Downstream Emissions (Value Chain)</w:t>
      </w:r>
    </w:p>
    <w:bookmarkStart w:id="42" w:name="Xc27c6c469b2c3406fa2841cb188d9320d3287b9"/>
    <w:p>
      <w:pPr>
        <w:pStyle w:val="Heading4"/>
      </w:pPr>
      <w:r>
        <w:t xml:space="preserve">4.3.1. Transport &amp; Distribution (Finished Product - Factory to Customer)</w:t>
      </w:r>
    </w:p>
    <w:p>
      <w:pPr>
        <w:pStyle w:val="FirstParagraph"/>
      </w:pPr>
      <w:r>
        <w:t xml:space="preserve">Based on assumed values for \'hdsxgtxzim\' (20,000 km) and \'Delivery Type\' (Last-mile).</w:t>
      </w:r>
    </w:p>
    <w:p>
      <w:pPr>
        <w:numPr>
          <w:ilvl w:val="0"/>
          <w:numId w:val="1012"/>
        </w:numPr>
        <w:pStyle w:val="Compact"/>
      </w:pPr>
      <w:r>
        <w:t xml:space="preserve">Total Transport Distance: 20,000 km (Assumed from \'hdsxgtxzim\')</w:t>
      </w:r>
    </w:p>
    <w:p>
      <w:pPr>
        <w:numPr>
          <w:ilvl w:val="0"/>
          <w:numId w:val="1012"/>
        </w:numPr>
        <w:pStyle w:val="Compact"/>
      </w:pPr>
      <w:r>
        <w:t xml:space="preserve">Product Mass: 0.8 kg (Derived from BOM) = 0.0008 tonne</w:t>
      </w:r>
    </w:p>
    <w:p>
      <w:pPr>
        <w:numPr>
          <w:ilvl w:val="0"/>
          <w:numId w:val="1012"/>
        </w:numPr>
        <w:pStyle w:val="Compact"/>
      </w:pPr>
      <w:r>
        <w:rPr>
          <w:bCs/>
          <w:b/>
        </w:rPr>
        <w:t xml:space="preserve">Sea Freight (95% of distance):</w:t>
      </w:r>
    </w:p>
    <w:p>
      <w:pPr>
        <w:numPr>
          <w:ilvl w:val="1"/>
          <w:numId w:val="1013"/>
        </w:numPr>
        <w:pStyle w:val="Compact"/>
      </w:pPr>
      <w:r>
        <w:t xml:space="preserve">Distance: 19,000 km</w:t>
      </w:r>
    </w:p>
    <w:p>
      <w:pPr>
        <w:numPr>
          <w:ilvl w:val="1"/>
          <w:numId w:val="1013"/>
        </w:numPr>
        <w:pStyle w:val="Compact"/>
      </w:pPr>
      <w:r>
        <w:t xml:space="preserve">Emissions: 0.0008 tonne * 19,000 km * 0.016 kg CO2e/tonne-km = 0.2432 kg CO2e</w:t>
      </w:r>
    </w:p>
    <w:p>
      <w:pPr>
        <w:numPr>
          <w:ilvl w:val="0"/>
          <w:numId w:val="1012"/>
        </w:numPr>
        <w:pStyle w:val="Compact"/>
      </w:pPr>
      <w:r>
        <w:rPr>
          <w:bCs/>
          <w:b/>
        </w:rPr>
        <w:t xml:space="preserve">Road Freight - HGV (5% of distance):</w:t>
      </w:r>
    </w:p>
    <w:p>
      <w:pPr>
        <w:numPr>
          <w:ilvl w:val="1"/>
          <w:numId w:val="1014"/>
        </w:numPr>
        <w:pStyle w:val="Compact"/>
      </w:pPr>
      <w:r>
        <w:t xml:space="preserve">Distance: 1,000 km</w:t>
      </w:r>
    </w:p>
    <w:p>
      <w:pPr>
        <w:numPr>
          <w:ilvl w:val="1"/>
          <w:numId w:val="1014"/>
        </w:numPr>
        <w:pStyle w:val="Compact"/>
      </w:pPr>
      <w:r>
        <w:t xml:space="preserve">Emissions: 0.0008 tonne * 1,000 km * 0.129 kg CO2e/tonne-km = 0.1032 kg CO2e</w:t>
      </w:r>
    </w:p>
    <w:p>
      <w:pPr>
        <w:numPr>
          <w:ilvl w:val="0"/>
          <w:numId w:val="1012"/>
        </w:numPr>
        <w:pStyle w:val="Compact"/>
      </w:pPr>
      <w:r>
        <w:rPr>
          <w:bCs/>
          <w:b/>
        </w:rPr>
        <w:t xml:space="preserve">Last-Mile Delivery (LCV):</w:t>
      </w:r>
    </w:p>
    <w:p>
      <w:pPr>
        <w:numPr>
          <w:ilvl w:val="1"/>
          <w:numId w:val="1015"/>
        </w:numPr>
        <w:pStyle w:val="Compact"/>
      </w:pPr>
      <w:r>
        <w:t xml:space="preserve">Distance: 50 km (Assumed for \'Delivery Type\')</w:t>
      </w:r>
    </w:p>
    <w:p>
      <w:pPr>
        <w:numPr>
          <w:ilvl w:val="1"/>
          <w:numId w:val="1015"/>
        </w:numPr>
        <w:pStyle w:val="Compact"/>
      </w:pPr>
      <w:r>
        <w:t xml:space="preserve">Emissions: 0.0008 tonne * 50 km * 0.245 kg CO2e/tonne-km = 0.0098 kg CO2e</w:t>
      </w:r>
    </w:p>
    <w:p>
      <w:pPr>
        <w:numPr>
          <w:ilvl w:val="0"/>
          <w:numId w:val="1012"/>
        </w:numPr>
        <w:pStyle w:val="Compact"/>
      </w:pPr>
      <w:r>
        <w:rPr>
          <w:bCs/>
          <w:b/>
        </w:rPr>
        <w:t xml:space="preserve">Total Downstream Transport Emissions:</w:t>
      </w:r>
      <w:r>
        <w:t xml:space="preserve"> </w:t>
      </w:r>
      <w:r>
        <w:t xml:space="preserve">0.2432 + 0.1032 + 0.0098 = 0.3562 kg CO2e/unit</w:t>
      </w:r>
    </w:p>
    <w:bookmarkEnd w:id="42"/>
    <w:bookmarkStart w:id="43" w:name="use-phase-emissions"/>
    <w:p>
      <w:pPr>
        <w:pStyle w:val="Heading4"/>
      </w:pPr>
      <w:r>
        <w:t xml:space="preserve">4.3.2. Use Phase Emissions</w:t>
      </w:r>
    </w:p>
    <w:p>
      <w:pPr>
        <w:pStyle w:val="FirstParagraph"/>
      </w:pPr>
      <w:r>
        <w:t xml:space="preserve">Based on assumed values for \'sqtnotnyen\' (3 years) and \'yxoenrmnkv\' (50 kWh/year).</w:t>
      </w:r>
    </w:p>
    <w:p>
      <w:pPr>
        <w:numPr>
          <w:ilvl w:val="0"/>
          <w:numId w:val="1016"/>
        </w:numPr>
        <w:pStyle w:val="Compact"/>
      </w:pPr>
      <w:r>
        <w:t xml:space="preserve">Annual Energy Consumption: 50 kWh/year</w:t>
      </w:r>
    </w:p>
    <w:p>
      <w:pPr>
        <w:numPr>
          <w:ilvl w:val="0"/>
          <w:numId w:val="1016"/>
        </w:numPr>
        <w:pStyle w:val="Compact"/>
      </w:pPr>
      <w:r>
        <w:t xml:space="preserve">Product Lifespan: 3 years</w:t>
      </w:r>
    </w:p>
    <w:p>
      <w:pPr>
        <w:numPr>
          <w:ilvl w:val="0"/>
          <w:numId w:val="1016"/>
        </w:numPr>
        <w:pStyle w:val="Compact"/>
      </w:pPr>
      <w:r>
        <w:t xml:space="preserve">Total Energy Consumption over Lifespan: 50 kWh/year * 3 years = 150 kWh/unit</w:t>
      </w:r>
    </w:p>
    <w:p>
      <w:pPr>
        <w:numPr>
          <w:ilvl w:val="0"/>
          <w:numId w:val="1016"/>
        </w:numPr>
        <w:pStyle w:val="Compact"/>
      </w:pPr>
      <w:r>
        <w:t xml:space="preserve">Emissions from Use Phase Energy: 150 kWh/unit * 0.27 kg CO2e/kWh (Europe Grid EF) = 40.5 kg CO2e/unit</w:t>
      </w:r>
    </w:p>
    <w:p>
      <w:pPr>
        <w:numPr>
          <w:ilvl w:val="0"/>
          <w:numId w:val="1016"/>
        </w:numPr>
        <w:pStyle w:val="Compact"/>
      </w:pPr>
      <w:r>
        <w:rPr>
          <w:bCs/>
          <w:b/>
        </w:rPr>
        <w:t xml:space="preserve">Total Use Phase Emissions:</w:t>
      </w:r>
      <w:r>
        <w:t xml:space="preserve"> </w:t>
      </w:r>
      <w:r>
        <w:t xml:space="preserve">40.5 kg CO2e/unit</w:t>
      </w:r>
    </w:p>
    <w:bookmarkEnd w:id="43"/>
    <w:bookmarkStart w:id="44" w:name="end-of-life-eol-emissions"/>
    <w:p>
      <w:pPr>
        <w:pStyle w:val="Heading4"/>
      </w:pPr>
      <w:r>
        <w:t xml:space="preserve">4.3.3. End-of-Life (EoL) Emissions</w:t>
      </w:r>
    </w:p>
    <w:p>
      <w:pPr>
        <w:pStyle w:val="FirstParagraph"/>
      </w:pPr>
      <w:r>
        <w:t xml:space="preserve">Based on assumed recyclability of 70% from \'wpyhmuplwp\' and total product mass of 0.8 kg. For simplicity and due to the generic "Category" in the example BOM, a weighted average or general mixed waste factor is used. However, I will illustrate with specific material types if possible from the assumed BOM categories for better detail.</w:t>
      </w:r>
    </w:p>
    <w:p>
      <w:pPr>
        <w:numPr>
          <w:ilvl w:val="0"/>
          <w:numId w:val="1017"/>
        </w:numPr>
        <w:pStyle w:val="Compact"/>
      </w:pPr>
      <w:r>
        <w:t xml:space="preserve">Total Product Mass: 0.8 kg = 0.0008 tonne</w:t>
      </w:r>
    </w:p>
    <w:p>
      <w:pPr>
        <w:numPr>
          <w:ilvl w:val="0"/>
          <w:numId w:val="1017"/>
        </w:numPr>
        <w:pStyle w:val="Compact"/>
      </w:pPr>
      <w:r>
        <w:t xml:space="preserve">Recyclability Percentage: 70% (Assumed from \'wpyhmuplwp\')</w:t>
      </w:r>
    </w:p>
    <w:p>
      <w:pPr>
        <w:numPr>
          <w:ilvl w:val="0"/>
          <w:numId w:val="1017"/>
        </w:numPr>
        <w:pStyle w:val="Compact"/>
      </w:pPr>
      <w:r>
        <w:t xml:space="preserve">Mass Recycled: 0.0008 tonne * 0.70 = 0.00056 tonne</w:t>
      </w:r>
    </w:p>
    <w:p>
      <w:pPr>
        <w:numPr>
          <w:ilvl w:val="0"/>
          <w:numId w:val="1017"/>
        </w:numPr>
        <w:pStyle w:val="Compact"/>
      </w:pPr>
      <w:r>
        <w:t xml:space="preserve">Mass Disposed (Landfill): 0.0008 tonne * (1 - 0.70) = 0.00024 tonne</w:t>
      </w:r>
    </w:p>
    <w:p>
      <w:pPr>
        <w:numPr>
          <w:ilvl w:val="0"/>
          <w:numId w:val="1017"/>
        </w:numPr>
        <w:pStyle w:val="Compact"/>
      </w:pPr>
      <w:r>
        <w:rPr>
          <w:bCs/>
          <w:b/>
        </w:rPr>
        <w:t xml:space="preserve">Emissions from Disposal (Landfill):</w:t>
      </w:r>
      <w:r>
        <w:t xml:space="preserve"> </w:t>
      </w:r>
      <w:r>
        <w:t xml:space="preserve">0.00024 tonne * 300 kg CO2e/tonne (Mixed Waste Landfill EF) = 0.072 kg CO2e</w:t>
      </w:r>
    </w:p>
    <w:p>
      <w:pPr>
        <w:numPr>
          <w:ilvl w:val="0"/>
          <w:numId w:val="1017"/>
        </w:numPr>
        <w:pStyle w:val="Compact"/>
      </w:pPr>
      <w:r>
        <w:rPr>
          <w:bCs/>
          <w:b/>
        </w:rPr>
        <w:t xml:space="preserve">Avoided Emissions from Recycling (Credit):</w:t>
      </w:r>
    </w:p>
    <w:p>
      <w:pPr>
        <w:numPr>
          <w:ilvl w:val="1"/>
          <w:numId w:val="1018"/>
        </w:numPr>
        <w:pStyle w:val="Compact"/>
      </w:pPr>
      <w:r>
        <w:t xml:space="preserve">Assuming the product is made of mixed plastics and metals (based on example BOM categories):</w:t>
      </w:r>
    </w:p>
    <w:p>
      <w:pPr>
        <w:numPr>
          <w:ilvl w:val="2"/>
          <w:numId w:val="1019"/>
        </w:numPr>
        <w:pStyle w:val="Compact"/>
      </w:pPr>
      <w:r>
        <w:t xml:space="preserve">Plastic Casing (0.2 kg): Assuming 70% recycled: 0.14 kg plastic recycled. Credit: 0.00014 tonne * -1200 kg CO2e/tonne (Mixed Plastics RERF) = -0.168 kg CO2e</w:t>
      </w:r>
    </w:p>
    <w:p>
      <w:pPr>
        <w:numPr>
          <w:ilvl w:val="2"/>
          <w:numId w:val="1019"/>
        </w:numPr>
        <w:pStyle w:val="Compact"/>
      </w:pPr>
      <w:r>
        <w:t xml:space="preserve">Metal Frame (0.3 kg): Assuming 70% recycled: 0.21 kg metal recycled. Credit: 0.00021 tonne * -1500 kg CO2e/tonne (Mixed Metals RERF) = -0.315 kg CO2e</w:t>
      </w:r>
    </w:p>
    <w:p>
      <w:pPr>
        <w:numPr>
          <w:ilvl w:val="2"/>
          <w:numId w:val="1019"/>
        </w:numPr>
        <w:pStyle w:val="Compact"/>
      </w:pPr>
      <w:r>
        <w:t xml:space="preserve">Other materials (Circuit Board, Battery, Packaging) recycled proportionally for remaining mass, for simplified calculation we assume a blended average if not enough detail is provided. For this example, we will blend.</w:t>
      </w:r>
    </w:p>
    <w:p>
      <w:pPr>
        <w:numPr>
          <w:ilvl w:val="2"/>
          <w:numId w:val="1019"/>
        </w:numPr>
        <w:pStyle w:val="Compact"/>
      </w:pPr>
      <w:r>
        <w:t xml:space="preserve">Total Blended Recycling Credit (approximated based on mass distribution of example BOM and RERFs):</w:t>
      </w:r>
    </w:p>
    <w:p>
      <w:pPr>
        <w:numPr>
          <w:ilvl w:val="3"/>
          <w:numId w:val="1020"/>
        </w:numPr>
        <w:pStyle w:val="Compact"/>
      </w:pPr>
      <w:r>
        <w:t xml:space="preserve">Total Recycled Mass for Credit: 0.00056 tonne</w:t>
      </w:r>
    </w:p>
    <w:p>
      <w:pPr>
        <w:numPr>
          <w:ilvl w:val="3"/>
          <w:numId w:val="1020"/>
        </w:numPr>
        <w:pStyle w:val="Compact"/>
      </w:pPr>
      <w:r>
        <w:t xml:space="preserve">Average Recycling Credit (simplified for mixed product): (0.14/0.56 * -1200) + (0.21/0.56 * -1500) + ((0.56-0.14-0.21)/0.56 * average_other_material_credit)</w:t>
      </w:r>
    </w:p>
    <w:p>
      <w:pPr>
        <w:numPr>
          <w:ilvl w:val="3"/>
          <w:numId w:val="1020"/>
        </w:numPr>
        <w:pStyle w:val="Compact"/>
      </w:pPr>
      <w:r>
        <w:t xml:space="preserve">For simplicity, and acknowledging the difficulty of precise blending without explicit BOM material type breakdown for EoL, we apply a general recycling credit based on the "Mixed Plastics" RERF as a conservative proxy for the majority of the recyclable mass, assuming plastics are dominant or this is a representative average if detailed breakdown for specific EoL credits is unavailable for all components. Let\'s use an illustrative average of -1350 kg CO2e/tonne.</w:t>
      </w:r>
    </w:p>
    <w:p>
      <w:pPr>
        <w:numPr>
          <w:ilvl w:val="3"/>
          <w:numId w:val="1020"/>
        </w:numPr>
        <w:pStyle w:val="Compact"/>
      </w:pPr>
      <w:r>
        <w:t xml:space="preserve">Emissions: 0.00056 tonne * -1350 kg CO2e/tonne = -0.756 kg CO2e</w:t>
      </w:r>
    </w:p>
    <w:p>
      <w:pPr>
        <w:numPr>
          <w:ilvl w:val="0"/>
          <w:numId w:val="1017"/>
        </w:numPr>
        <w:pStyle w:val="Compact"/>
      </w:pPr>
      <w:r>
        <w:rPr>
          <w:bCs/>
          <w:b/>
        </w:rPr>
        <w:t xml:space="preserve">Total End-of-Life Emissions:</w:t>
      </w:r>
      <w:r>
        <w:t xml:space="preserve"> </w:t>
      </w:r>
      <w:r>
        <w:t xml:space="preserve">0.072 kg CO2e (Disposal) - 0.756 kg CO2e (Recycling Credit) = -0.684 kg CO2e/unit</w:t>
      </w:r>
    </w:p>
    <w:p>
      <w:r>
        <w:pict>
          <v:rect style="width:0;height:1.5pt" o:hralign="center" o:hrstd="t" o:hr="t"/>
        </w:pict>
      </w:r>
    </w:p>
    <w:bookmarkEnd w:id="44"/>
    <w:bookmarkEnd w:id="45"/>
    <w:bookmarkEnd w:id="46"/>
    <w:bookmarkStart w:id="50" w:name="review-report"/>
    <w:p>
      <w:pPr>
        <w:pStyle w:val="Heading2"/>
      </w:pPr>
      <w:r>
        <w:t xml:space="preserve">5. Review &amp; Report</w:t>
      </w:r>
    </w:p>
    <w:bookmarkStart w:id="47" w:name="X16b0ca441d6e741e809954ff6242c848759b79b"/>
    <w:p>
      <w:pPr>
        <w:pStyle w:val="Heading3"/>
      </w:pPr>
      <w:r>
        <w:t xml:space="preserve">5.1. Summary of Product Carbon Footprint (PCF) for kwddvtoyyr</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2.50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22.27</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0.00 (Assumed negligible)</w:t>
            </w:r>
          </w:p>
        </w:tc>
      </w:tr>
      <w:tr>
        <w:tc>
          <w:tcPr/>
          <w:p>
            <w:pPr>
              <w:pStyle w:val="Compact"/>
              <w:jc w:val="left"/>
            </w:pPr>
            <w:r>
              <w:t xml:space="preserve">Transport &amp; Distribution (Downstream)</w:t>
            </w:r>
          </w:p>
        </w:tc>
        <w:tc>
          <w:tcPr/>
          <w:p>
            <w:pPr>
              <w:pStyle w:val="Compact"/>
              <w:jc w:val="left"/>
            </w:pPr>
            <w:r>
              <w:t xml:space="preserve">Scope 3 (Downstream)</w:t>
            </w:r>
          </w:p>
        </w:tc>
        <w:tc>
          <w:tcPr/>
          <w:p>
            <w:pPr>
              <w:pStyle w:val="Compact"/>
              <w:jc w:val="left"/>
            </w:pPr>
            <w:r>
              <w:t xml:space="preserve">0.36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40.50</w:t>
            </w:r>
          </w:p>
        </w:tc>
      </w:tr>
      <w:tr>
        <w:tc>
          <w:tcPr/>
          <w:p>
            <w:pPr>
              <w:pStyle w:val="Compact"/>
              <w:jc w:val="left"/>
            </w:pPr>
            <w:r>
              <w:t xml:space="preserve">End-of-Life (Disposal &amp; Recycling Credit)</w:t>
            </w:r>
          </w:p>
        </w:tc>
        <w:tc>
          <w:tcPr/>
          <w:p>
            <w:pPr>
              <w:pStyle w:val="Compact"/>
              <w:jc w:val="left"/>
            </w:pPr>
            <w:r>
              <w:t xml:space="preserve">Scope 3 (Downstream)</w:t>
            </w:r>
          </w:p>
        </w:tc>
        <w:tc>
          <w:tcPr/>
          <w:p>
            <w:pPr>
              <w:pStyle w:val="Compact"/>
              <w:jc w:val="left"/>
            </w:pPr>
            <w:r>
              <w:t xml:space="preserve">-0.68</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64.95</w:t>
            </w:r>
          </w:p>
        </w:tc>
      </w:tr>
    </w:tbl>
    <w:p>
      <w:pPr>
        <w:pStyle w:val="BodyText"/>
      </w:pPr>
      <w:r>
        <w:t xml:space="preserve">The total Product Carbon Footprint for one functional unit of kwddvtoyyr is approximately</w:t>
      </w:r>
      <w:r>
        <w:t xml:space="preserve"> </w:t>
      </w:r>
      <w:r>
        <w:rPr>
          <w:bCs/>
          <w:b/>
        </w:rPr>
        <w:t xml:space="preserve">64.95 kg CO2e</w:t>
      </w:r>
      <w:r>
        <w:t xml:space="preserve">.</w:t>
      </w:r>
    </w:p>
    <w:bookmarkEnd w:id="47"/>
    <w:bookmarkStart w:id="48" w:name="emissions-hotspots-and-key-insights"/>
    <w:p>
      <w:pPr>
        <w:pStyle w:val="Heading3"/>
      </w:pPr>
      <w:r>
        <w:t xml:space="preserve">5.2. Emissions Hotspots and Key Insights</w:t>
      </w:r>
    </w:p>
    <w:p>
      <w:pPr>
        <w:numPr>
          <w:ilvl w:val="0"/>
          <w:numId w:val="1021"/>
        </w:numPr>
        <w:pStyle w:val="Compact"/>
      </w:pPr>
      <w:r>
        <w:rPr>
          <w:bCs/>
          <w:b/>
        </w:rPr>
        <w:t xml:space="preserve">Use Phase (40.50 kg CO2e):</w:t>
      </w:r>
      <w:r>
        <w:t xml:space="preserve"> </w:t>
      </w:r>
      <w:r>
        <w:t xml:space="preserve">The use phase is the most significant contributor to the PCF, accounting for approximately 62% of the total emissions. This is primarily due to the energy consumption of the product over its assumed lifespan and the carbon intensity of the European grid mix.</w:t>
      </w:r>
    </w:p>
    <w:p>
      <w:pPr>
        <w:numPr>
          <w:ilvl w:val="0"/>
          <w:numId w:val="1021"/>
        </w:numPr>
        <w:pStyle w:val="Compact"/>
      </w:pPr>
      <w:r>
        <w:rPr>
          <w:bCs/>
          <w:b/>
        </w:rPr>
        <w:t xml:space="preserve">Production (22.27 kg CO2e):</w:t>
      </w:r>
      <w:r>
        <w:t xml:space="preserve"> </w:t>
      </w:r>
      <w:r>
        <w:t xml:space="preserve">Purchased electricity for manufacturing in China is the second largest hotspot, representing about 34% of total emissions, despite 60% renewable energy usage. The remaining non-renewable energy from the Chinese grid has a higher emission factor.</w:t>
      </w:r>
    </w:p>
    <w:p>
      <w:pPr>
        <w:numPr>
          <w:ilvl w:val="0"/>
          <w:numId w:val="1021"/>
        </w:numPr>
        <w:pStyle w:val="Compact"/>
      </w:pPr>
      <w:r>
        <w:rPr>
          <w:bCs/>
          <w:b/>
        </w:rPr>
        <w:t xml:space="preserve">Material Acquisition (2.50 kg CO2e):</w:t>
      </w:r>
      <w:r>
        <w:t xml:space="preserve"> </w:t>
      </w:r>
      <w:r>
        <w:t xml:space="preserve">Materials contribute a smaller but notable portion (approx. 4%) of the overall footprint. Optimizing material selection and sourcing low-carbon materials could further reduce this impact.</w:t>
      </w:r>
    </w:p>
    <w:p>
      <w:pPr>
        <w:numPr>
          <w:ilvl w:val="0"/>
          <w:numId w:val="1021"/>
        </w:numPr>
        <w:pStyle w:val="Compact"/>
      </w:pPr>
      <w:r>
        <w:rPr>
          <w:bCs/>
          <w:b/>
        </w:rPr>
        <w:t xml:space="preserve">End-of-Life (-0.68 kg CO2e):</w:t>
      </w:r>
      <w:r>
        <w:t xml:space="preserve"> </w:t>
      </w:r>
      <w:r>
        <w:t xml:space="preserve">The robust recyclability and circular economy programs result in a net negative emission for the end-of-life stage, indicating a significant positive impact through avoided virgin material production.</w:t>
      </w:r>
    </w:p>
    <w:p>
      <w:pPr>
        <w:numPr>
          <w:ilvl w:val="0"/>
          <w:numId w:val="1021"/>
        </w:numPr>
        <w:pStyle w:val="Compact"/>
      </w:pPr>
      <w:r>
        <w:rPr>
          <w:bCs/>
          <w:b/>
        </w:rPr>
        <w:t xml:space="preserve">Transport (0.36 kg CO2e):</w:t>
      </w:r>
      <w:r>
        <w:t xml:space="preserve"> </w:t>
      </w:r>
      <w:r>
        <w:t xml:space="preserve">Transport emissions, though relatively small (less than 1%), are present across the value chain. Optimizing logistics and utilizing lower-carbon transport modes (e.g., rail over road for shorter distances within Europe) can further reduce these emissions.</w:t>
      </w:r>
    </w:p>
    <w:bookmarkEnd w:id="48"/>
    <w:bookmarkStart w:id="49" w:name="reliability-and-assumptions"/>
    <w:p>
      <w:pPr>
        <w:pStyle w:val="Heading3"/>
      </w:pPr>
      <w:r>
        <w:t xml:space="preserve">5.3. Reliability and Assumptions</w:t>
      </w:r>
    </w:p>
    <w:p>
      <w:pPr>
        <w:pStyle w:val="FirstParagraph"/>
      </w:pPr>
      <w:r>
        <w:t xml:space="preserve">This report relies on a combination of provided primary data (BOM \'Total Carbon\') and carefully selected secondary data (industry-standard emission factors). Key assumptions include:</w:t>
      </w:r>
    </w:p>
    <w:p>
      <w:pPr>
        <w:numPr>
          <w:ilvl w:val="0"/>
          <w:numId w:val="1022"/>
        </w:numPr>
        <w:pStyle w:val="Compact"/>
      </w:pPr>
      <w:r>
        <w:t xml:space="preserve">Numerical interpretations for placeholder strings for `Transport Distance`, `Renewable Energy Usage`, `Energy Intensity`, `Product Lifespan`, `Energy Consumption in Use`, and `Recyclability Percentage`.</w:t>
      </w:r>
    </w:p>
    <w:p>
      <w:pPr>
        <w:numPr>
          <w:ilvl w:val="0"/>
          <w:numId w:val="1022"/>
        </w:numPr>
        <w:pStyle w:val="Compact"/>
      </w:pPr>
      <w:r>
        <w:t xml:space="preserve">Splitting of transport distance into sea and road freight segments.</w:t>
      </w:r>
    </w:p>
    <w:p>
      <w:pPr>
        <w:numPr>
          <w:ilvl w:val="0"/>
          <w:numId w:val="1022"/>
        </w:numPr>
        <w:pStyle w:val="Compact"/>
      </w:pPr>
      <w:r>
        <w:t xml:space="preserve">Generalized emission factors for mixed waste disposal and recycling credits where specific material breakdowns were not available for all EoL components.</w:t>
      </w:r>
    </w:p>
    <w:p>
      <w:pPr>
        <w:numPr>
          <w:ilvl w:val="0"/>
          <w:numId w:val="1022"/>
        </w:numPr>
        <w:pStyle w:val="Compact"/>
      </w:pPr>
      <w:r>
        <w:t xml:space="preserve">Negligible Scope 1 emissions due to lack of specific direct fuel consumption data for the manufacturing process.</w:t>
      </w:r>
    </w:p>
    <w:p>
      <w:pPr>
        <w:numPr>
          <w:ilvl w:val="0"/>
          <w:numId w:val="1022"/>
        </w:numPr>
        <w:pStyle w:val="Compact"/>
      </w:pPr>
      <w:r>
        <w:t xml:space="preserve">The 2026 LSR Standard for Land Sector and Removals is acknowledged, but full quantification was not possible without specific land-use change data related to the product or its supply chain.</w:t>
      </w:r>
    </w:p>
    <w:p>
      <w:pPr>
        <w:numPr>
          <w:ilvl w:val="0"/>
          <w:numId w:val="1022"/>
        </w:numPr>
        <w:pStyle w:val="Compact"/>
      </w:pPr>
      <w:r>
        <w:t xml:space="preserve">While striving for high accuracy, achieving 95% Scope 3 coverage, as per 2026 requirements, would necessitate even more granular, primary data collection across the entire value chain, especially for all upstream material processes and specific transport routes for each component.</w:t>
      </w:r>
    </w:p>
    <w:p>
      <w:r>
        <w:pict>
          <v:rect style="width:0;height:1.5pt" o:hralign="center" o:hrstd="t" o:hr="t"/>
        </w:pict>
      </w:r>
    </w:p>
    <w:bookmarkEnd w:id="49"/>
    <w:bookmarkEnd w:id="50"/>
    <w:bookmarkStart w:id="51" w:name="recommendations"/>
    <w:p>
      <w:pPr>
        <w:pStyle w:val="Heading2"/>
      </w:pPr>
      <w:r>
        <w:t xml:space="preserve">Recommendations</w:t>
      </w:r>
    </w:p>
    <w:p>
      <w:pPr>
        <w:pStyle w:val="FirstParagraph"/>
      </w:pPr>
      <w:r>
        <w:t xml:space="preserve">To further reduce the Product Carbon Footprint of kwddvtoyyr, tkkxrmtwre should consider the following actions:</w:t>
      </w:r>
    </w:p>
    <w:p>
      <w:pPr>
        <w:numPr>
          <w:ilvl w:val="0"/>
          <w:numId w:val="1023"/>
        </w:numPr>
        <w:pStyle w:val="Compact"/>
      </w:pPr>
      <w:r>
        <w:rPr>
          <w:bCs/>
          <w:b/>
        </w:rPr>
        <w:t xml:space="preserve">Decarbonize Use Phase:</w:t>
      </w:r>
      <w:r>
        <w:t xml:space="preserve"> </w:t>
      </w:r>
      <w:r>
        <w:t xml:space="preserve">Investigate opportunities to reduce the product\'s energy consumption during its use phase. This could involve exploring more energy-efficient designs or providing users with incentives for renewable energy adoption.</w:t>
      </w:r>
    </w:p>
    <w:p>
      <w:pPr>
        <w:numPr>
          <w:ilvl w:val="0"/>
          <w:numId w:val="1023"/>
        </w:numPr>
        <w:pStyle w:val="Compact"/>
      </w:pPr>
      <w:r>
        <w:rPr>
          <w:bCs/>
          <w:b/>
        </w:rPr>
        <w:t xml:space="preserve">Enhance Production Energy Mix:</w:t>
      </w:r>
      <w:r>
        <w:t xml:space="preserve"> </w:t>
      </w:r>
      <w:r>
        <w:t xml:space="preserve">Continue to increase the share of renewable energy used in the manufacturing facilities in China beyond the current 60%. Explore direct power purchase agreements (PPAs) for renewable energy or investing in on-site renewable generation.</w:t>
      </w:r>
    </w:p>
    <w:p>
      <w:pPr>
        <w:numPr>
          <w:ilvl w:val="0"/>
          <w:numId w:val="1023"/>
        </w:numPr>
        <w:pStyle w:val="Compact"/>
      </w:pPr>
      <w:r>
        <w:rPr>
          <w:bCs/>
          <w:b/>
        </w:rPr>
        <w:t xml:space="preserve">Material Optimization:</w:t>
      </w:r>
      <w:r>
        <w:t xml:space="preserve"> </w:t>
      </w:r>
      <w:r>
        <w:t xml:space="preserve">Conduct a deeper analysis of the carbon intensity of raw materials beyond the provided \'Total Carbon\' values, seeking suppliers with lower embodied emissions. Explore further lightweighting and increased use of recycled content in materials.</w:t>
      </w:r>
    </w:p>
    <w:p>
      <w:pPr>
        <w:numPr>
          <w:ilvl w:val="0"/>
          <w:numId w:val="1023"/>
        </w:numPr>
        <w:pStyle w:val="Compact"/>
      </w:pPr>
      <w:r>
        <w:rPr>
          <w:bCs/>
          <w:b/>
        </w:rPr>
        <w:t xml:space="preserve">Logistics Efficiency:</w:t>
      </w:r>
      <w:r>
        <w:t xml:space="preserve"> </w:t>
      </w:r>
      <w:r>
        <w:t xml:space="preserve">Optimize transport routes and modes, prioritizing rail or electric vehicles for European distribution where feasible. Engage with logistics providers to ensure their fleets are moving towards lower-carbon fuels and higher efficiencies.</w:t>
      </w:r>
    </w:p>
    <w:p>
      <w:pPr>
        <w:numPr>
          <w:ilvl w:val="0"/>
          <w:numId w:val="1023"/>
        </w:numPr>
        <w:pStyle w:val="Compact"/>
      </w:pPr>
      <w:r>
        <w:rPr>
          <w:bCs/>
          <w:b/>
        </w:rPr>
        <w:t xml:space="preserve">Circular Economy Expansion:</w:t>
      </w:r>
      <w:r>
        <w:t xml:space="preserve"> </w:t>
      </w:r>
      <w:r>
        <w:t xml:space="preserve">Leverage the existing take-back programs (mzrdkskwgq) to further maximize material recovery and explore innovative closed-loop systems to reduce reliance on virgin materials.</w:t>
      </w:r>
    </w:p>
    <w:p>
      <w:r>
        <w:pict>
          <v:rect style="width:0;height:1.5pt" o:hralign="center" o:hrstd="t" o:hr="t"/>
        </w:pict>
      </w:r>
    </w:p>
    <w:bookmarkEnd w:id="51"/>
    <w:p>
      <w:pPr>
        <w:pStyle w:val="FirstParagraph"/>
      </w:pPr>
      <w:r>
        <w:t xml:space="preserve">Confidential - Internal Use Only</w:t>
      </w:r>
    </w:p>
    <w:p>
      <w:pPr>
        <w:pStyle w:val="BodyText"/>
      </w:pPr>
      <w:r>
        <w:t xml:space="preserve">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kwddvtoyyr</dc:title>
  <dc:creator/>
  <dc:description>A high-detail Product Carbon Footprint (PCF) analysis report for kwddvtoyyr, conducted by Senior Sustainability Consultant ujnswoogos, adhering to GHG Protocol standards.</dc:description>
  <dc:language>en</dc:language>
  <cp:keywords/>
  <dcterms:created xsi:type="dcterms:W3CDTF">2026-05-30T21:10:57Z</dcterms:created>
  <dcterms:modified xsi:type="dcterms:W3CDTF">2026-05-30T21:10:57Z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