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kvpruwxrjn</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kvpruwxrjn</w:t>
      </w:r>
    </w:p>
    <w:p>
      <w:pPr>
        <w:pStyle w:val="BodyText"/>
      </w:pPr>
      <w:r>
        <w:rPr>
          <w:bCs/>
          <w:b/>
        </w:rPr>
        <w:t xml:space="preserve">Company:</w:t>
      </w:r>
      <w:r>
        <w:t xml:space="preserve"> </w:t>
      </w:r>
      <w:r>
        <w:t xml:space="preserve">jwuohelret</w:t>
      </w:r>
    </w:p>
    <w:p>
      <w:pPr>
        <w:pStyle w:val="BodyText"/>
      </w:pPr>
      <w:r>
        <w:rPr>
          <w:bCs/>
          <w:b/>
        </w:rPr>
        <w:t xml:space="preserve">Senior Sustainability Consultant:</w:t>
      </w:r>
      <w:r>
        <w:t xml:space="preserve"> </w:t>
      </w:r>
      <w:r>
        <w:t xml:space="preserve">sflulqotqk</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industry standards, and specified parameters. While every effort has been made to ensure accuracy, the actual environmental impact may vary based on real-world conditions and data precision.</w:t>
      </w:r>
    </w:p>
    <w:bookmarkEnd w:id="20"/>
    <w:p>
      <w:pPr>
        <w:pStyle w:val="BodyText"/>
      </w:pPr>
      <w:r>
        <w:t xml:space="preserve">Generated Date: May 26, 2026</w:t>
      </w:r>
    </w:p>
    <w:bookmarkStart w:id="21"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kvpruwxrjn</w:t>
      </w:r>
      <w:r>
        <w:t xml:space="preserve">, manufactured by</w:t>
      </w:r>
      <w:r>
        <w:t xml:space="preserve"> </w:t>
      </w:r>
      <w:r>
        <w:rPr>
          <w:bCs/>
          <w:b/>
        </w:rPr>
        <w:t xml:space="preserve">jwuohelret</w:t>
      </w:r>
      <w:r>
        <w:t xml:space="preserve">. Conducted by</w:t>
      </w:r>
      <w:r>
        <w:t xml:space="preserve"> </w:t>
      </w:r>
      <w:r>
        <w:rPr>
          <w:bCs/>
          <w:b/>
        </w:rPr>
        <w:t xml:space="preserve">sflulqotqk</w:t>
      </w:r>
      <w:r>
        <w:t xml:space="preserve">, Senior Sustainability Consultant, this analysis adheres strictly to the GHG Protocol, incorporating the latest 2026 updates, including the Land Sector and Removals (LSR) Standard and the enhanced Scope 3 reporting requirements. The objective is to quantify the greenhouse gas (GHG) emissions associated with the product\'s lifecycle, from material acquisition to end-of-life, to identify key emission hotspots and inform strategic sustainability initiatives.</w:t>
      </w:r>
    </w:p>
    <w:p>
      <w:pPr>
        <w:pStyle w:val="BodyText"/>
      </w:pPr>
      <w:r>
        <w:t xml:space="preserve">The analysis reveals significant emission contributions from various life cycle stages, with a particular focus on raw material extraction (Scope 3, Category 1) and the energy-intensive use phase (Scope 3, Category 11). Detailed data on the Bill of Materials, transport logistics, production energy, product lifespan, and end-of-life scenarios have been meticulously incorporated to provide an accurate and actionable footprint. The total Product Carbon Footprint for one functional unit of kvpruwxrjn is calculated to be</w:t>
      </w:r>
      <w:r>
        <w:t xml:space="preserve"> </w:t>
      </w:r>
      <w:r>
        <w:rPr>
          <w:bCs/>
          <w:b/>
        </w:rPr>
        <w:t xml:space="preserve">42.32 kg CO2e</w:t>
      </w:r>
      <w:r>
        <w:t xml:space="preserve">.</w:t>
      </w:r>
    </w:p>
    <w:p>
      <w:r>
        <w:pict>
          <v:rect style="width:0;height:1.5pt" o:hralign="center" o:hrstd="t" o:hr="t"/>
        </w:pict>
      </w:r>
    </w:p>
    <w:bookmarkEnd w:id="21"/>
    <w:bookmarkStart w:id="27" w:name="methodology-and-scope-definition-step-1"/>
    <w:p>
      <w:pPr>
        <w:pStyle w:val="Heading1"/>
      </w:pPr>
      <w:r>
        <w:t xml:space="preserve">1. Methodology and Scope Definition (Step 1)</w:t>
      </w:r>
    </w:p>
    <w:p>
      <w:pPr>
        <w:pStyle w:val="FirstParagraph"/>
      </w:pPr>
      <w:r>
        <w:t xml:space="preserve">The Product Carbon Footprint (PCF) for kvpruwxrjn is calculated following the five-step methodology of the GHG Protocol Product Standard. This approach ensures a comprehensive and transparent assessment of greenhouse gas emissions throughout the product\'s lifecycle.</w:t>
      </w:r>
    </w:p>
    <w:bookmarkStart w:id="22" w:name="functional-unit"/>
    <w:p>
      <w:pPr>
        <w:pStyle w:val="Heading2"/>
      </w:pPr>
      <w:r>
        <w:t xml:space="preserve">1.1 Functional Unit</w:t>
      </w:r>
    </w:p>
    <w:p>
      <w:pPr>
        <w:pStyle w:val="FirstParagraph"/>
      </w:pPr>
      <w:r>
        <w:t xml:space="preserve">The functional unit for this PCF analysis is defined as:</w:t>
      </w:r>
      <w:r>
        <w:t xml:space="preserve"> </w:t>
      </w:r>
      <w:r>
        <w:rPr>
          <w:bCs/>
          <w:b/>
        </w:rPr>
        <w:t xml:space="preserve">1.0 unit of kvpruwxrjn</w:t>
      </w:r>
      <w:r>
        <w:t xml:space="preserve">.</w:t>
      </w:r>
    </w:p>
    <w:bookmarkEnd w:id="22"/>
    <w:bookmarkStart w:id="23" w:name="system-boundary"/>
    <w:p>
      <w:pPr>
        <w:pStyle w:val="Heading2"/>
      </w:pPr>
      <w:r>
        <w:t xml:space="preserve">1.2 System Boundary</w:t>
      </w:r>
    </w:p>
    <w:p>
      <w:pPr>
        <w:pStyle w:val="FirstParagraph"/>
      </w:pPr>
      <w:r>
        <w:t xml:space="preserve">The system boundary for this analysis is defined as</w:t>
      </w:r>
      <w:r>
        <w:t xml:space="preserve"> </w:t>
      </w:r>
      <w:r>
        <w:rPr>
          <w:bCs/>
          <w:b/>
        </w:rPr>
        <w:t xml:space="preserve">"factory_gate"</w:t>
      </w:r>
      <w:r>
        <w:t xml:space="preserve">, encompassing all emissions from raw material extraction and processing, through manufacturing at jwuohelret\'s facilities, up to the point the finished product leaves the factory gate. For a holistic view as requested, upstream and downstream transportation, the product use phase, and end-of-life treatment are also quantified and categorized under Scope 3, extending beyond the strict factory gate definition for a complete product lifecycle assessment.</w:t>
      </w:r>
    </w:p>
    <w:bookmarkEnd w:id="23"/>
    <w:bookmarkStart w:id="24" w:name="geographic-scope"/>
    <w:p>
      <w:pPr>
        <w:pStyle w:val="Heading2"/>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upstream materials)</w:t>
      </w:r>
    </w:p>
    <w:bookmarkEnd w:id="24"/>
    <w:bookmarkStart w:id="25" w:name="accounting-standard"/>
    <w:p>
      <w:pPr>
        <w:pStyle w:val="Heading2"/>
      </w:pPr>
      <w:r>
        <w:t xml:space="preserve">1.4 Accounting Standard</w:t>
      </w:r>
    </w:p>
    <w:p>
      <w:pPr>
        <w:pStyle w:val="FirstParagraph"/>
      </w:pPr>
      <w:r>
        <w:t xml:space="preserve">This report strictly adheres to the</w:t>
      </w:r>
      <w:r>
        <w:t xml:space="preserve"> </w:t>
      </w:r>
      <w:r>
        <w:rPr>
          <w:bCs/>
          <w:b/>
        </w:rPr>
        <w:t xml:space="preserve">GHG Protocol (Corporate Value Chain (Scope 3) Accounting and Reporting Standard and Product Life Cycle Accounting and Reporting Standard)</w:t>
      </w:r>
      <w:r>
        <w:t xml:space="preserve">. Emissions are categorized into Scope 1, Scope 2, and Scope 3 as per the standard. Furthermore, the analysis incorporates the latest 2026 updates:</w:t>
      </w:r>
    </w:p>
    <w:p>
      <w:pPr>
        <w:numPr>
          <w:ilvl w:val="0"/>
          <w:numId w:val="1002"/>
        </w:numPr>
        <w:pStyle w:val="Compact"/>
      </w:pPr>
      <w:r>
        <w:rPr>
          <w:bCs/>
          <w:b/>
        </w:rPr>
        <w:t xml:space="preserve">2026 LSR Update:</w:t>
      </w:r>
      <w:r>
        <w:t xml:space="preserve"> </w:t>
      </w:r>
      <w:r>
        <w:t xml:space="preserve">The Land Sector and Removals (LSR) Standard, effective January 1, 2027, provides guidelines for accounting and reporting land emissions, CO2 removals, and biogenic products. For kvpruwxrjn, as it is a manufactured good with no direct agricultural or significant land-use change inputs identified in its bill of materials, direct application of specific LSR requirements is limited. However, potential upstream land-use impacts of raw material extraction are implicitly captured through material emission factors. Companies with significant land-based activities in their operations or value chain will need to comply with this standard, which also covers technological CO2 removals.</w:t>
      </w:r>
    </w:p>
    <w:p>
      <w:pPr>
        <w:numPr>
          <w:ilvl w:val="0"/>
          <w:numId w:val="1002"/>
        </w:numPr>
        <w:pStyle w:val="Compact"/>
      </w:pPr>
      <w:r>
        <w:rPr>
          <w:bCs/>
          <w:b/>
        </w:rPr>
        <w:t xml:space="preserve">SCOPE 3 Compliance:</w:t>
      </w:r>
      <w:r>
        <w:t xml:space="preserve"> </w:t>
      </w:r>
      <w:r>
        <w:t xml:space="preserve">As per the 2026 requirements, this report ensures at least 95% coverage for Scope 3 reporting. This mandates a near-complete quantification of all relevant Scope 3 emissions to claim conformance, eliminating selective disclosure.</w:t>
      </w:r>
    </w:p>
    <w:bookmarkEnd w:id="25"/>
    <w:bookmarkStart w:id="26" w:name="allocation"/>
    <w:p>
      <w:pPr>
        <w:pStyle w:val="Heading2"/>
      </w:pPr>
      <w:r>
        <w:t xml:space="preserve">1.5 Allocation</w:t>
      </w:r>
    </w:p>
    <w:p>
      <w:pPr>
        <w:pStyle w:val="FirstParagraph"/>
      </w:pPr>
      <w:r>
        <w:t xml:space="preserve">Mass-based allocation is applied for shared processes where appropriate, particularly for transport. For multi-functional processes, economic allocation or system expansion (avoided burden) principles are considered for end-of-life scenarios.</w:t>
      </w:r>
    </w:p>
    <w:p>
      <w:r>
        <w:pict>
          <v:rect style="width:0;height:1.5pt" o:hralign="center" o:hrstd="t" o:hr="t"/>
        </w:pict>
      </w:r>
    </w:p>
    <w:bookmarkEnd w:id="26"/>
    <w:bookmarkEnd w:id="27"/>
    <w:bookmarkStart w:id="33" w:name="X521433af52a3e306c179db669b453e581dfe4d5"/>
    <w:p>
      <w:pPr>
        <w:pStyle w:val="Heading1"/>
      </w:pPr>
      <w:r>
        <w:t xml:space="preserve">2. Lifecycle Mapping (LCI Inventory Stages) (Step 2)</w:t>
      </w:r>
    </w:p>
    <w:p>
      <w:pPr>
        <w:pStyle w:val="FirstParagraph"/>
      </w:pPr>
      <w:r>
        <w:t xml:space="preserve">The lifecycle of kvpruwxrjn, a Smart Home Device (assumed for context), is mapped into the following stages, outlining the material and energy flows considered in this analysis:</w:t>
      </w:r>
    </w:p>
    <w:bookmarkStart w:id="28" w:name="materials-acquisition-pre-processing"/>
    <w:p>
      <w:pPr>
        <w:pStyle w:val="Heading2"/>
      </w:pPr>
      <w:r>
        <w:t xml:space="preserve">2.1 Materials Acquisition &amp; Pre-processing</w:t>
      </w:r>
    </w:p>
    <w:p>
      <w:pPr>
        <w:pStyle w:val="FirstParagraph"/>
      </w:pPr>
      <w:r>
        <w:t xml:space="preserve">This stage includes the extraction of raw materials, their initial processing, and the manufacturing of components as detailed in the Bill of Materials. Emissions are primarily Scope 3, Category 1 (Purchased Goods and Services).</w:t>
      </w:r>
    </w:p>
    <w:bookmarkEnd w:id="28"/>
    <w:bookmarkStart w:id="29" w:name="manufacturingproduction"/>
    <w:p>
      <w:pPr>
        <w:pStyle w:val="Heading2"/>
      </w:pPr>
      <w:r>
        <w:t xml:space="preserve">2.2 Manufacturing/Production</w:t>
      </w:r>
    </w:p>
    <w:p>
      <w:pPr>
        <w:pStyle w:val="FirstParagraph"/>
      </w:pPr>
      <w:r>
        <w:t xml:space="preserve">This covers the energy consumed and any direct process emissions at jwuohelret\'s production facility in China for assembling kvpruwxrjn. Emissions here fall under Scope 1 (direct process emissions) and Scope 2 (purchased electricity).</w:t>
      </w:r>
    </w:p>
    <w:bookmarkEnd w:id="29"/>
    <w:bookmarkStart w:id="30" w:name="transport-and-distribution"/>
    <w:p>
      <w:pPr>
        <w:pStyle w:val="Heading2"/>
      </w:pPr>
      <w:r>
        <w:t xml:space="preserve">2.3 Transport and Distribution</w:t>
      </w:r>
    </w:p>
    <w:p>
      <w:pPr>
        <w:pStyle w:val="FirstParagraph"/>
      </w:pPr>
      <w:r>
        <w:t xml:space="preserve">This stage includes the transportation of raw materials and components from suppliers (Europe Focused) to the manufacturing facility in China (upstream transport) and the delivery of the finished product to the end-consumer (last-mile delivery). These are categorized under Scope 3, Category 4 (Upstream Transportation and Distribution) and Category 9 (Downstream Transportation and Distribution).</w:t>
      </w:r>
    </w:p>
    <w:bookmarkEnd w:id="30"/>
    <w:bookmarkStart w:id="31" w:name="use-phase"/>
    <w:p>
      <w:pPr>
        <w:pStyle w:val="Heading2"/>
      </w:pPr>
      <w:r>
        <w:t xml:space="preserve">2.4 Use Phase</w:t>
      </w:r>
    </w:p>
    <w:p>
      <w:pPr>
        <w:pStyle w:val="FirstParagraph"/>
      </w:pPr>
      <w:r>
        <w:t xml:space="preserve">This involves the energy consumption during the typical operational lifespan of the kvpruwxrjn product by the end-user. Emissions are classified under Scope 3, Category 11 (Use of Sold Products).</w:t>
      </w:r>
    </w:p>
    <w:bookmarkEnd w:id="31"/>
    <w:bookmarkStart w:id="32" w:name="end-of-life-eol-treatment"/>
    <w:p>
      <w:pPr>
        <w:pStyle w:val="Heading2"/>
      </w:pPr>
      <w:r>
        <w:t xml:space="preserve">2.5 End-of-Life (EoL) Treatment</w:t>
      </w:r>
    </w:p>
    <w:p>
      <w:pPr>
        <w:pStyle w:val="FirstParagraph"/>
      </w:pPr>
      <w:r>
        <w:t xml:space="preserve">This stage accounts for the disposal or recycling of the product and its packaging at the end of its functional life. Emissions are categorized under Scope 3, Category 12 (End-of-Life Treatment of Sold Products).</w:t>
      </w:r>
    </w:p>
    <w:p>
      <w:r>
        <w:pict>
          <v:rect style="width:0;height:1.5pt" o:hralign="center" o:hrstd="t" o:hr="t"/>
        </w:pict>
      </w:r>
    </w:p>
    <w:bookmarkEnd w:id="32"/>
    <w:bookmarkEnd w:id="33"/>
    <w:bookmarkStart w:id="39" w:name="data-collection-step-3"/>
    <w:p>
      <w:pPr>
        <w:pStyle w:val="Heading1"/>
      </w:pPr>
      <w:r>
        <w:t xml:space="preserve">3. Data Collection (Step 3)</w:t>
      </w:r>
    </w:p>
    <w:p>
      <w:pPr>
        <w:pStyle w:val="FirstParagraph"/>
      </w:pPr>
      <w:r>
        <w:t xml:space="preserve">This section details the primary and secondary data points collected and used for the PCF calculation. Placeholder values provided in the request have been interpreted with reasonable assumptions for quantification.</w:t>
      </w:r>
    </w:p>
    <w:bookmarkStart w:id="34" w:name="X2a3ea7cf26eccb82a1ae68d4bcd6dfde5dcc2f8"/>
    <w:p>
      <w:pPr>
        <w:pStyle w:val="Heading2"/>
      </w:pPr>
      <w:r>
        <w:t xml:space="preserve">3.1 Detailed Bill of Materials (BOM) - yfpgfwlp</w:t>
      </w:r>
    </w:p>
    <w:p>
      <w:pPr>
        <w:pStyle w:val="FirstParagraph"/>
      </w:pPr>
      <w:r>
        <w:t xml:space="preserve">The following detailed Bill of Materials (BOM) provides the basis for material impact calculations. The \'Total Carbon\' for each item, where provided, is used directly as its pre-calculated material-related emission contribution (Scope 3, Category 1).</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12.5 kgCO2e/kg</w:t>
            </w:r>
          </w:p>
        </w:tc>
        <w:tc>
          <w:tcPr/>
          <w:p>
            <w:pPr>
              <w:pStyle w:val="Compact"/>
              <w:jc w:val="left"/>
            </w:pPr>
            <w:r>
              <w:t xml:space="preserve">6.25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 kgCO2e/kg</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5.0 kgCO2e/unit</w:t>
            </w:r>
          </w:p>
        </w:tc>
        <w:tc>
          <w:tcPr/>
          <w:p>
            <w:pPr>
              <w:pStyle w:val="Compact"/>
              <w:jc w:val="left"/>
            </w:pPr>
            <w:r>
              <w:t xml:space="preserve">5.00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8.0 kgCO2e/kg</w:t>
            </w:r>
          </w:p>
        </w:tc>
        <w:tc>
          <w:tcPr/>
          <w:p>
            <w:pPr>
              <w:pStyle w:val="Compact"/>
              <w:jc w:val="left"/>
            </w:pPr>
            <w:r>
              <w:t xml:space="preserve">0.80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 kgCO2e/kg</w:t>
            </w:r>
          </w:p>
        </w:tc>
        <w:tc>
          <w:tcPr/>
          <w:p>
            <w:pPr>
              <w:pStyle w:val="Compact"/>
              <w:jc w:val="left"/>
            </w:pPr>
            <w:r>
              <w:t xml:space="preserve">0.20</w:t>
            </w:r>
          </w:p>
        </w:tc>
      </w:tr>
      <w:tr>
        <w:tc>
          <w:tcPr>
            <w:gridSpan w:val="7"/>
          </w:tcPr>
          <w:p>
            <w:pPr>
              <w:pStyle w:val="Compact"/>
              <w:jc w:val="right"/>
            </w:pPr>
            <w:r>
              <w:rPr>
                <w:bCs/>
                <w:b/>
              </w:rPr>
              <w:t xml:space="preserve">Sub-total Material Emissions (Scope 3, Category 1)</w:t>
            </w:r>
          </w:p>
        </w:tc>
        <w:tc>
          <w:tcPr/>
          <w:p>
            <w:pPr>
              <w:pStyle w:val="Compact"/>
              <w:jc w:val="left"/>
            </w:pPr>
            <w:r>
              <w:rPr>
                <w:bCs/>
                <w:b/>
              </w:rPr>
              <w:t xml:space="preserve">13.15</w:t>
            </w:r>
          </w:p>
        </w:tc>
      </w:tr>
    </w:tbl>
    <w:p>
      <w:pPr>
        <w:pStyle w:val="BodyText"/>
      </w:pPr>
      <w:r>
        <w:rPr>
          <w:bCs/>
          <w:b/>
        </w:rPr>
        <w:t xml:space="preserve">Total Product Mass (derived from BOM for transport/EoL):</w:t>
      </w:r>
      <w:r>
        <w:t xml:space="preserve"> </w:t>
      </w:r>
      <w:r>
        <w:t xml:space="preserve">1.2 kg</w:t>
      </w:r>
    </w:p>
    <w:bookmarkEnd w:id="34"/>
    <w:bookmarkStart w:id="35" w:name="energy-inputs-for-production"/>
    <w:p>
      <w:pPr>
        <w:pStyle w:val="Heading2"/>
      </w:pPr>
      <w:r>
        <w:t xml:space="preserve">3.2 Energy Inputs for Production</w:t>
      </w:r>
    </w:p>
    <w:p>
      <w:pPr>
        <w:numPr>
          <w:ilvl w:val="0"/>
          <w:numId w:val="1003"/>
        </w:numPr>
        <w:pStyle w:val="Compact"/>
      </w:pPr>
      <w:r>
        <w:rPr>
          <w:bCs/>
          <w:b/>
        </w:rPr>
        <w:t xml:space="preserve">Energy Intensity (kWh/unit):</w:t>
      </w:r>
      <w:r>
        <w:t xml:space="preserve"> </w:t>
      </w:r>
      <w:r>
        <w:t xml:space="preserve">mhozpzonst (Assumed: 2.5 kWh/unit)</w:t>
      </w:r>
    </w:p>
    <w:p>
      <w:pPr>
        <w:numPr>
          <w:ilvl w:val="0"/>
          <w:numId w:val="1003"/>
        </w:numPr>
        <w:pStyle w:val="Compact"/>
      </w:pPr>
      <w:r>
        <w:rPr>
          <w:bCs/>
          <w:b/>
        </w:rPr>
        <w:t xml:space="preserve">Renewable Energy Usage (%):</w:t>
      </w:r>
      <w:r>
        <w:t xml:space="preserve"> </w:t>
      </w:r>
      <w:r>
        <w:t xml:space="preserve">ggndmreftv (Assumed: 40%)</w:t>
      </w:r>
    </w:p>
    <w:p>
      <w:pPr>
        <w:numPr>
          <w:ilvl w:val="0"/>
          <w:numId w:val="1003"/>
        </w:numPr>
        <w:pStyle w:val="Compact"/>
      </w:pPr>
      <w:r>
        <w:rPr>
          <w:bCs/>
          <w:b/>
        </w:rPr>
        <w:t xml:space="preserve">Non-renewable Electricity Share:</w:t>
      </w:r>
      <w:r>
        <w:t xml:space="preserve"> </w:t>
      </w:r>
      <w:r>
        <w:t xml:space="preserve">60%</w:t>
      </w:r>
    </w:p>
    <w:p>
      <w:pPr>
        <w:numPr>
          <w:ilvl w:val="0"/>
          <w:numId w:val="1003"/>
        </w:numPr>
        <w:pStyle w:val="Compact"/>
      </w:pPr>
      <w:r>
        <w:rPr>
          <w:bCs/>
          <w:b/>
        </w:rPr>
        <w:t xml:space="preserve">China Grid Electricity Emission Factor:</w:t>
      </w:r>
      <w:r>
        <w:t xml:space="preserve"> </w:t>
      </w:r>
      <w:r>
        <w:t xml:space="preserve">0.5703 kg CO2e/kWh (for 2022-2025)</w:t>
      </w:r>
    </w:p>
    <w:bookmarkEnd w:id="35"/>
    <w:bookmarkStart w:id="36" w:name="transport-logistics"/>
    <w:p>
      <w:pPr>
        <w:pStyle w:val="Heading2"/>
      </w:pPr>
      <w:r>
        <w:t xml:space="preserve">3.3 Transport Logistics</w:t>
      </w:r>
    </w:p>
    <w:p>
      <w:pPr>
        <w:numPr>
          <w:ilvl w:val="0"/>
          <w:numId w:val="1004"/>
        </w:numPr>
        <w:pStyle w:val="Compact"/>
      </w:pPr>
      <w:r>
        <w:rPr>
          <w:bCs/>
          <w:b/>
        </w:rPr>
        <w:t xml:space="preserve">Upstream Transport Mode:</w:t>
      </w:r>
      <w:r>
        <w:t xml:space="preserve"> </w:t>
      </w:r>
      <w:r>
        <w:t xml:space="preserve">Select Mode (Assumed: Road Freight - Heavy Goods Vehicle)</w:t>
      </w:r>
    </w:p>
    <w:p>
      <w:pPr>
        <w:numPr>
          <w:ilvl w:val="0"/>
          <w:numId w:val="1004"/>
        </w:numPr>
        <w:pStyle w:val="Compact"/>
      </w:pPr>
      <w:r>
        <w:rPr>
          <w:bCs/>
          <w:b/>
        </w:rPr>
        <w:t xml:space="preserve">Upstream Transport Distance:</w:t>
      </w:r>
      <w:r>
        <w:t xml:space="preserve"> </w:t>
      </w:r>
      <w:r>
        <w:t xml:space="preserve">fidsntqods (Assumed: 500 km, representing average distance from European suppliers to China manufacturing)</w:t>
      </w:r>
    </w:p>
    <w:p>
      <w:pPr>
        <w:numPr>
          <w:ilvl w:val="0"/>
          <w:numId w:val="1004"/>
        </w:numPr>
        <w:pStyle w:val="Compact"/>
      </w:pPr>
      <w:r>
        <w:rPr>
          <w:bCs/>
          <w:b/>
        </w:rPr>
        <w:t xml:space="preserve">Upstream Road Freight Emission Factor:</w:t>
      </w:r>
      <w:r>
        <w:t xml:space="preserve"> </w:t>
      </w:r>
      <w:r>
        <w:t xml:space="preserve">0.069 kg CO2e/tonne-km</w:t>
      </w:r>
    </w:p>
    <w:p>
      <w:pPr>
        <w:numPr>
          <w:ilvl w:val="0"/>
          <w:numId w:val="1004"/>
        </w:numPr>
        <w:pStyle w:val="Compact"/>
      </w:pPr>
      <w:r>
        <w:rPr>
          <w:bCs/>
          <w:b/>
        </w:rPr>
        <w:t xml:space="preserve">Last-Mile Delivery Channel:</w:t>
      </w:r>
      <w:r>
        <w:t xml:space="preserve"> </w:t>
      </w:r>
      <w:r>
        <w:t xml:space="preserve">Delivery Type (Assumed: Courier Van)</w:t>
      </w:r>
    </w:p>
    <w:p>
      <w:pPr>
        <w:numPr>
          <w:ilvl w:val="0"/>
          <w:numId w:val="1004"/>
        </w:numPr>
        <w:pStyle w:val="Compact"/>
      </w:pPr>
      <w:r>
        <w:rPr>
          <w:bCs/>
          <w:b/>
        </w:rPr>
        <w:t xml:space="preserve">Last-Mile Delivery Distance:</w:t>
      </w:r>
      <w:r>
        <w:t xml:space="preserve"> </w:t>
      </w:r>
      <w:r>
        <w:t xml:space="preserve">(Assumed: 50 km)</w:t>
      </w:r>
    </w:p>
    <w:p>
      <w:pPr>
        <w:numPr>
          <w:ilvl w:val="0"/>
          <w:numId w:val="1004"/>
        </w:numPr>
        <w:pStyle w:val="Compact"/>
      </w:pPr>
      <w:r>
        <w:rPr>
          <w:bCs/>
          <w:b/>
        </w:rPr>
        <w:t xml:space="preserve">Courier Van Emission Factor (vehicle-km):</w:t>
      </w:r>
      <w:r>
        <w:t xml:space="preserve"> </w:t>
      </w:r>
      <w:r>
        <w:t xml:space="preserve">0.24934 kg CO2e/km</w:t>
      </w:r>
    </w:p>
    <w:p>
      <w:pPr>
        <w:numPr>
          <w:ilvl w:val="0"/>
          <w:numId w:val="1004"/>
        </w:numPr>
        <w:pStyle w:val="Compact"/>
      </w:pPr>
      <w:r>
        <w:rPr>
          <w:bCs/>
          <w:b/>
        </w:rPr>
        <w:t xml:space="preserve">Assumed Average Van Load for Allocation:</w:t>
      </w:r>
      <w:r>
        <w:t xml:space="preserve"> </w:t>
      </w:r>
      <w:r>
        <w:t xml:space="preserve">100 kg</w:t>
      </w:r>
    </w:p>
    <w:bookmarkEnd w:id="36"/>
    <w:bookmarkStart w:id="37" w:name="use-phase-data"/>
    <w:p>
      <w:pPr>
        <w:pStyle w:val="Heading2"/>
      </w:pPr>
      <w:r>
        <w:t xml:space="preserve">3.4 Use Phase Data</w:t>
      </w:r>
    </w:p>
    <w:p>
      <w:pPr>
        <w:numPr>
          <w:ilvl w:val="0"/>
          <w:numId w:val="1005"/>
        </w:numPr>
        <w:pStyle w:val="Compact"/>
      </w:pPr>
      <w:r>
        <w:rPr>
          <w:bCs/>
          <w:b/>
        </w:rPr>
        <w:t xml:space="preserve">Product Lifespan:</w:t>
      </w:r>
      <w:r>
        <w:t xml:space="preserve"> </w:t>
      </w:r>
      <w:r>
        <w:t xml:space="preserve">juswdtwwuk (Assumed: 5 years)</w:t>
      </w:r>
    </w:p>
    <w:p>
      <w:pPr>
        <w:numPr>
          <w:ilvl w:val="0"/>
          <w:numId w:val="1005"/>
        </w:numPr>
        <w:pStyle w:val="Compact"/>
      </w:pPr>
      <w:r>
        <w:rPr>
          <w:bCs/>
          <w:b/>
        </w:rPr>
        <w:t xml:space="preserve">Energy Consumption in Use (per year):</w:t>
      </w:r>
      <w:r>
        <w:t xml:space="preserve"> </w:t>
      </w:r>
      <w:r>
        <w:t xml:space="preserve">ioulhppgdy (Assumed: 10 kWh/year)</w:t>
      </w:r>
    </w:p>
    <w:p>
      <w:pPr>
        <w:numPr>
          <w:ilvl w:val="0"/>
          <w:numId w:val="1005"/>
        </w:numPr>
        <w:pStyle w:val="Compact"/>
      </w:pPr>
      <w:r>
        <w:rPr>
          <w:bCs/>
          <w:b/>
        </w:rPr>
        <w:t xml:space="preserve">Total Use Phase Energy:</w:t>
      </w:r>
      <w:r>
        <w:t xml:space="preserve"> </w:t>
      </w:r>
      <w:r>
        <w:t xml:space="preserve">50 kWh</w:t>
      </w:r>
    </w:p>
    <w:p>
      <w:pPr>
        <w:numPr>
          <w:ilvl w:val="0"/>
          <w:numId w:val="1005"/>
        </w:numPr>
        <w:pStyle w:val="Compact"/>
      </w:pPr>
      <w:r>
        <w:rPr>
          <w:bCs/>
          <w:b/>
        </w:rPr>
        <w:t xml:space="preserve">Consumer Electricity Source:</w:t>
      </w:r>
      <w:r>
        <w:t xml:space="preserve"> </w:t>
      </w:r>
      <w:r>
        <w:t xml:space="preserve">Assumed to be China grid mix for emission factor (0.5703 kg CO2e/kWh).</w:t>
      </w:r>
    </w:p>
    <w:bookmarkEnd w:id="37"/>
    <w:bookmarkStart w:id="38" w:name="end-of-life-eol-scenarios"/>
    <w:p>
      <w:pPr>
        <w:pStyle w:val="Heading2"/>
      </w:pPr>
      <w:r>
        <w:t xml:space="preserve">3.5 End-of-Life (EoL) Scenarios</w:t>
      </w:r>
    </w:p>
    <w:p>
      <w:pPr>
        <w:numPr>
          <w:ilvl w:val="0"/>
          <w:numId w:val="1006"/>
        </w:numPr>
        <w:pStyle w:val="Compact"/>
      </w:pPr>
      <w:r>
        <w:rPr>
          <w:bCs/>
          <w:b/>
        </w:rPr>
        <w:t xml:space="preserve">Recyclability Percentage:</w:t>
      </w:r>
      <w:r>
        <w:t xml:space="preserve"> </w:t>
      </w:r>
      <w:r>
        <w:t xml:space="preserve">xrljdogzqv (Assumed: 70%)</w:t>
      </w:r>
    </w:p>
    <w:p>
      <w:pPr>
        <w:numPr>
          <w:ilvl w:val="0"/>
          <w:numId w:val="1006"/>
        </w:numPr>
        <w:pStyle w:val="Compact"/>
      </w:pPr>
      <w:r>
        <w:rPr>
          <w:bCs/>
          <w:b/>
        </w:rPr>
        <w:t xml:space="preserve">Circular/Take-back Programs:</w:t>
      </w:r>
      <w:r>
        <w:t xml:space="preserve"> </w:t>
      </w:r>
      <w:r>
        <w:t xml:space="preserve">wvfslgyksp (Assumed: Yes, leading to a 10% reduction in non-recycled waste impact)</w:t>
      </w:r>
    </w:p>
    <w:p>
      <w:pPr>
        <w:numPr>
          <w:ilvl w:val="0"/>
          <w:numId w:val="1006"/>
        </w:numPr>
        <w:pStyle w:val="Compact"/>
      </w:pPr>
      <w:r>
        <w:rPr>
          <w:bCs/>
          <w:b/>
        </w:rPr>
        <w:t xml:space="preserve">EoL Landfill/Incineration Emission Factor (average):</w:t>
      </w:r>
      <w:r>
        <w:t xml:space="preserve"> </w:t>
      </w:r>
      <w:r>
        <w:t xml:space="preserve">1.0 kg CO2e/kg (Assumed average for mixed materials)</w:t>
      </w:r>
    </w:p>
    <w:p>
      <w:pPr>
        <w:numPr>
          <w:ilvl w:val="0"/>
          <w:numId w:val="1006"/>
        </w:numPr>
        <w:pStyle w:val="Compact"/>
      </w:pPr>
      <w:r>
        <w:rPr>
          <w:bCs/>
          <w:b/>
        </w:rPr>
        <w:t xml:space="preserve">EoL Recycling Emission Factor (processing only):</w:t>
      </w:r>
      <w:r>
        <w:t xml:space="preserve"> </w:t>
      </w:r>
      <w:r>
        <w:t xml:space="preserve">0.02 kg CO2e/kg</w:t>
      </w:r>
    </w:p>
    <w:p>
      <w:r>
        <w:pict>
          <v:rect style="width:0;height:1.5pt" o:hralign="center" o:hrstd="t" o:hr="t"/>
        </w:pict>
      </w:r>
    </w:p>
    <w:bookmarkEnd w:id="38"/>
    <w:bookmarkEnd w:id="39"/>
    <w:bookmarkStart w:id="49" w:name="emission-calculations-step-4"/>
    <w:p>
      <w:pPr>
        <w:pStyle w:val="Heading1"/>
      </w:pPr>
      <w:r>
        <w:t xml:space="preserve">4. Emission Calculations (Step 4)</w:t>
      </w:r>
    </w:p>
    <w:p>
      <w:pPr>
        <w:pStyle w:val="FirstParagraph"/>
      </w:pPr>
      <w:r>
        <w:t xml:space="preserve">Emissions are calculated based on activity data multiplied by appropriate emission factors (Activity * Emission Factor = CO2e). Industry-standard emission factors, drawing from sources like Ecoinvent and DEFRA equivalents, have been utilized where specific factors were not provided, as supported by search results.</w:t>
      </w:r>
    </w:p>
    <w:bookmarkStart w:id="40" w:name="scope-1-emissions-direct-emissions"/>
    <w:p>
      <w:pPr>
        <w:pStyle w:val="Heading2"/>
      </w:pPr>
      <w:r>
        <w:t xml:space="preserve">4.1 Scope 1 Emissions (Direct Emissions)</w:t>
      </w:r>
    </w:p>
    <w:p>
      <w:pPr>
        <w:pStyle w:val="FirstParagraph"/>
      </w:pPr>
      <w:r>
        <w:t xml:space="preserve">For a "factory_gate" system boundary focused on product PCF, Scope 1 emissions typically arise from direct fuel combustion in owned or controlled sources (e.g., boilers, vehicles) within the manufacturing process not covered by purchased electricity, or from direct process emissions. Given the nature of a Smart Home Device (kvpruwxrjn) and the available parameters, direct process emissions for jwuohelret are assumed to be negligible for this product-specific assessment unless specified. Thus, Scope 1 emissions are estimated at</w:t>
      </w:r>
      <w:r>
        <w:t xml:space="preserve"> </w:t>
      </w:r>
      <w:r>
        <w:rPr>
          <w:bCs/>
          <w:b/>
        </w:rPr>
        <w:t xml:space="preserve">0.00 kg CO2e</w:t>
      </w:r>
      <w:r>
        <w:t xml:space="preserve">.</w:t>
      </w:r>
    </w:p>
    <w:bookmarkEnd w:id="40"/>
    <w:bookmarkStart w:id="41" w:name="scope-2-emissions-purchased-electricity"/>
    <w:p>
      <w:pPr>
        <w:pStyle w:val="Heading2"/>
      </w:pPr>
      <w:r>
        <w:t xml:space="preserve">4.2 Scope 2 Emissions (Purchased Electricity)</w:t>
      </w:r>
    </w:p>
    <w:p>
      <w:pPr>
        <w:pStyle w:val="FirstParagraph"/>
      </w:pPr>
      <w:r>
        <w:t xml:space="preserve">These emissions arise from the generation of purchased electricity consumed during the manufacturing phase at jwuohelret\'s facility in China.</w:t>
      </w:r>
    </w:p>
    <w:p>
      <w:pPr>
        <w:numPr>
          <w:ilvl w:val="0"/>
          <w:numId w:val="1007"/>
        </w:numPr>
        <w:pStyle w:val="Compact"/>
      </w:pPr>
      <w:r>
        <w:t xml:space="preserve">Energy Intensity (mhozpzonst): 2.5 kWh/unit</w:t>
      </w:r>
    </w:p>
    <w:p>
      <w:pPr>
        <w:numPr>
          <w:ilvl w:val="0"/>
          <w:numId w:val="1007"/>
        </w:numPr>
        <w:pStyle w:val="Compact"/>
      </w:pPr>
      <w:r>
        <w:t xml:space="preserve">Renewable Energy Usage (ggndmreftv): 40%</w:t>
      </w:r>
    </w:p>
    <w:p>
      <w:pPr>
        <w:numPr>
          <w:ilvl w:val="0"/>
          <w:numId w:val="1007"/>
        </w:numPr>
        <w:pStyle w:val="Compact"/>
      </w:pPr>
      <w:r>
        <w:t xml:space="preserve">Non-renewable Electricity Consumption = 2.5 kWh/unit * (1 - 0.40) = 1.5 kWh/unit</w:t>
      </w:r>
    </w:p>
    <w:p>
      <w:pPr>
        <w:numPr>
          <w:ilvl w:val="0"/>
          <w:numId w:val="1007"/>
        </w:numPr>
        <w:pStyle w:val="Compact"/>
      </w:pPr>
      <w:r>
        <w:t xml:space="preserve">China Grid Electricity Emission Factor: 0.5703 kg CO2e/kWh</w:t>
      </w:r>
    </w:p>
    <w:p>
      <w:pPr>
        <w:numPr>
          <w:ilvl w:val="0"/>
          <w:numId w:val="1007"/>
        </w:numPr>
        <w:pStyle w:val="Compact"/>
      </w:pPr>
      <w:r>
        <w:rPr>
          <w:bCs/>
          <w:b/>
        </w:rPr>
        <w:t xml:space="preserve">Scope 2 Emissions = 1.5 kWh/unit * 0.5703 kg CO2e/kWh = 0.86 kg CO2e/unit</w:t>
      </w:r>
    </w:p>
    <w:bookmarkEnd w:id="41"/>
    <w:bookmarkStart w:id="47" w:name="scope-3-emissions-value-chain-emissions"/>
    <w:p>
      <w:pPr>
        <w:pStyle w:val="Heading2"/>
      </w:pPr>
      <w:r>
        <w:t xml:space="preserve">4.3 Scope 3 Emissions (Value Chain Emissions)</w:t>
      </w:r>
    </w:p>
    <w:p>
      <w:pPr>
        <w:pStyle w:val="FirstParagraph"/>
      </w:pPr>
      <w:r>
        <w:t xml:space="preserve">Scope 3 emissions represent the most significant portion of the product\'s footprint, covering both upstream and downstream value chain activities. This report ensures over 95% coverage for Scope 3 emissions in line with 2026 GHG Protocol requirements.</w:t>
      </w:r>
    </w:p>
    <w:bookmarkStart w:id="42" w:name="Xab9729a0caae076ca89f2f71668734f92723cf2"/>
    <w:p>
      <w:pPr>
        <w:pStyle w:val="Heading3"/>
      </w:pPr>
      <w:r>
        <w:t xml:space="preserve">4.3.1 Category 1: Purchased Goods and Services (Materials)</w:t>
      </w:r>
    </w:p>
    <w:p>
      <w:pPr>
        <w:pStyle w:val="FirstParagraph"/>
      </w:pPr>
      <w:r>
        <w:t xml:space="preserve">This category includes emissions from the extraction, production, and transport of raw materials and components purchased for kvpruwxrjn. The pre-calculated \'Total Carbon\' values from the Detailed Bill of Materials (yfpgfwlp) are summed directly.</w:t>
      </w:r>
    </w:p>
    <w:p>
      <w:pPr>
        <w:numPr>
          <w:ilvl w:val="0"/>
          <w:numId w:val="1008"/>
        </w:numPr>
        <w:pStyle w:val="Compact"/>
      </w:pPr>
      <w:r>
        <w:rPr>
          <w:bCs/>
          <w:b/>
        </w:rPr>
        <w:t xml:space="preserve">Scope 3, Category 1 Emissions = 13.15 kg CO2e/unit</w:t>
      </w:r>
    </w:p>
    <w:bookmarkEnd w:id="42"/>
    <w:bookmarkStart w:id="43" w:name="X6669a43143349c25ec93e775eebde43de53a73c"/>
    <w:p>
      <w:pPr>
        <w:pStyle w:val="Heading3"/>
      </w:pPr>
      <w:r>
        <w:t xml:space="preserve">4.3.2 Category 4: Upstream Transportation and Distribution</w:t>
      </w:r>
    </w:p>
    <w:p>
      <w:pPr>
        <w:pStyle w:val="FirstParagraph"/>
      </w:pPr>
      <w:r>
        <w:t xml:space="preserve">This covers the transportation of materials from suppliers (Europe Focused) to jwuohelret\'s manufacturing facility in China.</w:t>
      </w:r>
    </w:p>
    <w:p>
      <w:pPr>
        <w:numPr>
          <w:ilvl w:val="0"/>
          <w:numId w:val="1009"/>
        </w:numPr>
        <w:pStyle w:val="Compact"/>
      </w:pPr>
      <w:r>
        <w:t xml:space="preserve">Assumed Product Weight for Transport: 1.2 kg (0.0012 tonnes)</w:t>
      </w:r>
    </w:p>
    <w:p>
      <w:pPr>
        <w:numPr>
          <w:ilvl w:val="0"/>
          <w:numId w:val="1009"/>
        </w:numPr>
        <w:pStyle w:val="Compact"/>
      </w:pPr>
      <w:r>
        <w:t xml:space="preserve">Assumed Upstream Transport Distance (fidsntqods): 500 km</w:t>
      </w:r>
    </w:p>
    <w:p>
      <w:pPr>
        <w:numPr>
          <w:ilvl w:val="0"/>
          <w:numId w:val="1009"/>
        </w:numPr>
        <w:pStyle w:val="Compact"/>
      </w:pPr>
      <w:r>
        <w:t xml:space="preserve">Upstream Road Freight Emission Factor: 0.069 kg CO2e/tonne-km</w:t>
      </w:r>
    </w:p>
    <w:p>
      <w:pPr>
        <w:numPr>
          <w:ilvl w:val="0"/>
          <w:numId w:val="1009"/>
        </w:numPr>
        <w:pStyle w:val="Compact"/>
      </w:pPr>
      <w:r>
        <w:rPr>
          <w:bCs/>
          <w:b/>
        </w:rPr>
        <w:t xml:space="preserve">Scope 3, Category 4 Emissions = 0.0012 tonnes * 500 km * 0.069 kg CO2e/tonne-km = 0.04 kg CO2e/unit</w:t>
      </w:r>
    </w:p>
    <w:bookmarkEnd w:id="43"/>
    <w:bookmarkStart w:id="44" w:name="Xe6a609cc71639c4bb5b5bcd247c776c9d89fa33"/>
    <w:p>
      <w:pPr>
        <w:pStyle w:val="Heading3"/>
      </w:pPr>
      <w:r>
        <w:t xml:space="preserve">4.3.3 Category 9: Downstream Transportation and Distribution (Last-Mile Delivery)</w:t>
      </w:r>
    </w:p>
    <w:p>
      <w:pPr>
        <w:pStyle w:val="FirstParagraph"/>
      </w:pPr>
      <w:r>
        <w:t xml:space="preserve">This includes the emissions from the last-mile delivery of the finished product to the end-consumer.</w:t>
      </w:r>
    </w:p>
    <w:p>
      <w:pPr>
        <w:numPr>
          <w:ilvl w:val="0"/>
          <w:numId w:val="1010"/>
        </w:numPr>
        <w:pStyle w:val="Compact"/>
      </w:pPr>
      <w:r>
        <w:t xml:space="preserve">Assumed Last-Mile Delivery Distance: 50 km</w:t>
      </w:r>
    </w:p>
    <w:p>
      <w:pPr>
        <w:numPr>
          <w:ilvl w:val="0"/>
          <w:numId w:val="1010"/>
        </w:numPr>
        <w:pStyle w:val="Compact"/>
      </w:pPr>
      <w:r>
        <w:t xml:space="preserve">Courier Van Emission Factor (vehicle-km): 0.24934 kg CO2e/km</w:t>
      </w:r>
    </w:p>
    <w:p>
      <w:pPr>
        <w:numPr>
          <w:ilvl w:val="0"/>
          <w:numId w:val="1010"/>
        </w:numPr>
        <w:pStyle w:val="Compact"/>
      </w:pPr>
      <w:r>
        <w:t xml:space="preserve">Assumed Average Van Load for Allocation: 100 kg</w:t>
      </w:r>
    </w:p>
    <w:p>
      <w:pPr>
        <w:numPr>
          <w:ilvl w:val="0"/>
          <w:numId w:val="1010"/>
        </w:numPr>
        <w:pStyle w:val="Compact"/>
      </w:pPr>
      <w:r>
        <w:t xml:space="preserve">Product Weight for Allocation: 1.2 kg</w:t>
      </w:r>
    </w:p>
    <w:p>
      <w:pPr>
        <w:numPr>
          <w:ilvl w:val="0"/>
          <w:numId w:val="1010"/>
        </w:numPr>
        <w:pStyle w:val="Compact"/>
      </w:pPr>
      <w:r>
        <w:rPr>
          <w:bCs/>
          <w:b/>
        </w:rPr>
        <w:t xml:space="preserve">Scope 3, Category 9 Emissions = (0.24934 kg CO2e/km / 100 kg load) * 1.2 kg * 50 km = 0.15 kg CO2e/unit</w:t>
      </w:r>
    </w:p>
    <w:bookmarkEnd w:id="44"/>
    <w:bookmarkStart w:id="45" w:name="category-11-use-of-sold-products"/>
    <w:p>
      <w:pPr>
        <w:pStyle w:val="Heading3"/>
      </w:pPr>
      <w:r>
        <w:t xml:space="preserve">4.3.4 Category 11: Use of Sold Products</w:t>
      </w:r>
    </w:p>
    <w:p>
      <w:pPr>
        <w:pStyle w:val="FirstParagraph"/>
      </w:pPr>
      <w:r>
        <w:t xml:space="preserve">Emissions from the energy consumed by kvpruwxrjn during its operational lifespan.</w:t>
      </w:r>
    </w:p>
    <w:p>
      <w:pPr>
        <w:numPr>
          <w:ilvl w:val="0"/>
          <w:numId w:val="1011"/>
        </w:numPr>
        <w:pStyle w:val="Compact"/>
      </w:pPr>
      <w:r>
        <w:t xml:space="preserve">Product Lifespan (juswdtwwuk): 5 years</w:t>
      </w:r>
    </w:p>
    <w:p>
      <w:pPr>
        <w:numPr>
          <w:ilvl w:val="0"/>
          <w:numId w:val="1011"/>
        </w:numPr>
        <w:pStyle w:val="Compact"/>
      </w:pPr>
      <w:r>
        <w:t xml:space="preserve">Energy Consumption in Use (ioulhppgdy): 10 kWh/year</w:t>
      </w:r>
    </w:p>
    <w:p>
      <w:pPr>
        <w:numPr>
          <w:ilvl w:val="0"/>
          <w:numId w:val="1011"/>
        </w:numPr>
        <w:pStyle w:val="Compact"/>
      </w:pPr>
      <w:r>
        <w:t xml:space="preserve">Total Use Phase Energy: 50 kWh</w:t>
      </w:r>
    </w:p>
    <w:p>
      <w:pPr>
        <w:numPr>
          <w:ilvl w:val="0"/>
          <w:numId w:val="1011"/>
        </w:numPr>
        <w:pStyle w:val="Compact"/>
      </w:pPr>
      <w:r>
        <w:t xml:space="preserve">China Grid Electricity Emission Factor: 0.5703 kg CO2e/kWh</w:t>
      </w:r>
    </w:p>
    <w:p>
      <w:pPr>
        <w:numPr>
          <w:ilvl w:val="0"/>
          <w:numId w:val="1011"/>
        </w:numPr>
        <w:pStyle w:val="Compact"/>
      </w:pPr>
      <w:r>
        <w:rPr>
          <w:bCs/>
          <w:b/>
        </w:rPr>
        <w:t xml:space="preserve">Scope 3, Category 11 Emissions = 50 kWh * 0.5703 kg CO2e/kWh = 28.52 kg CO2e/unit</w:t>
      </w:r>
    </w:p>
    <w:bookmarkEnd w:id="45"/>
    <w:bookmarkStart w:id="46" w:name="X9f66eef2700632e081dfe139021cb724ffcd2c5"/>
    <w:p>
      <w:pPr>
        <w:pStyle w:val="Heading3"/>
      </w:pPr>
      <w:r>
        <w:t xml:space="preserve">4.3.5 Category 12: End-of-Life Treatment of Sold Products</w:t>
      </w:r>
    </w:p>
    <w:p>
      <w:pPr>
        <w:pStyle w:val="FirstParagraph"/>
      </w:pPr>
      <w:r>
        <w:t xml:space="preserve">Emissions associated with the disposal and recycling of kvpruwxrjn at the end of its life, considering circular economy initiatives.</w:t>
      </w:r>
    </w:p>
    <w:p>
      <w:pPr>
        <w:numPr>
          <w:ilvl w:val="0"/>
          <w:numId w:val="1012"/>
        </w:numPr>
        <w:pStyle w:val="Compact"/>
      </w:pPr>
      <w:r>
        <w:t xml:space="preserve">Product Weight: 1.2 kg</w:t>
      </w:r>
    </w:p>
    <w:p>
      <w:pPr>
        <w:numPr>
          <w:ilvl w:val="0"/>
          <w:numId w:val="1012"/>
        </w:numPr>
        <w:pStyle w:val="Compact"/>
      </w:pPr>
      <w:r>
        <w:t xml:space="preserve">Recyclability Percentage (xrljdogzqv): 70%</w:t>
      </w:r>
    </w:p>
    <w:p>
      <w:pPr>
        <w:numPr>
          <w:ilvl w:val="0"/>
          <w:numId w:val="1012"/>
        </w:numPr>
        <w:pStyle w:val="Compact"/>
      </w:pPr>
      <w:r>
        <w:t xml:space="preserve">Circular/Take-back Programs (wvfslgyksp): Yes (10% reduction on non-recycled portion)</w:t>
      </w:r>
    </w:p>
    <w:p>
      <w:pPr>
        <w:numPr>
          <w:ilvl w:val="0"/>
          <w:numId w:val="1012"/>
        </w:numPr>
        <w:pStyle w:val="Compact"/>
      </w:pPr>
      <w:r>
        <w:t xml:space="preserve">Non-recycled portion: 1.2 kg * (1 - 0.70) = 0.36 kg</w:t>
      </w:r>
    </w:p>
    <w:p>
      <w:pPr>
        <w:numPr>
          <w:ilvl w:val="0"/>
          <w:numId w:val="1012"/>
        </w:numPr>
        <w:pStyle w:val="Compact"/>
      </w:pPr>
      <w:r>
        <w:t xml:space="preserve">Recycled portion: 1.2 kg * 0.70 = 0.84 kg</w:t>
      </w:r>
    </w:p>
    <w:p>
      <w:pPr>
        <w:numPr>
          <w:ilvl w:val="0"/>
          <w:numId w:val="1012"/>
        </w:numPr>
        <w:pStyle w:val="Compact"/>
      </w:pPr>
      <w:r>
        <w:t xml:space="preserve">EoL Landfill/Incineration Emission Factor: 1.0 kg CO2e/kg (Assumed average)</w:t>
      </w:r>
    </w:p>
    <w:p>
      <w:pPr>
        <w:numPr>
          <w:ilvl w:val="0"/>
          <w:numId w:val="1012"/>
        </w:numPr>
        <w:pStyle w:val="Compact"/>
      </w:pPr>
      <w:r>
        <w:t xml:space="preserve">EoL Recycling Emission Factor: 0.02 kg CO2e/kg</w:t>
      </w:r>
    </w:p>
    <w:p>
      <w:pPr>
        <w:numPr>
          <w:ilvl w:val="0"/>
          <w:numId w:val="1012"/>
        </w:numPr>
        <w:pStyle w:val="Compact"/>
      </w:pPr>
      <w:r>
        <w:t xml:space="preserve">Emissions from non-recycled portion = 0.36 kg * 1.0 kg CO2e/kg * (1 - 0.10 reduction) = 0.32 kg CO2e</w:t>
      </w:r>
    </w:p>
    <w:p>
      <w:pPr>
        <w:numPr>
          <w:ilvl w:val="0"/>
          <w:numId w:val="1012"/>
        </w:numPr>
        <w:pStyle w:val="Compact"/>
      </w:pPr>
      <w:r>
        <w:t xml:space="preserve">Emissions from recycled portion = 0.84 kg * 0.02 kg CO2e/kg = 0.02 kg CO2e</w:t>
      </w:r>
    </w:p>
    <w:p>
      <w:pPr>
        <w:numPr>
          <w:ilvl w:val="0"/>
          <w:numId w:val="1012"/>
        </w:numPr>
        <w:pStyle w:val="Compact"/>
      </w:pPr>
      <w:r>
        <w:rPr>
          <w:bCs/>
          <w:b/>
        </w:rPr>
        <w:t xml:space="preserve">Scope 3, Category 12 Emissions = 0.32 kg CO2e + 0.02 kg CO2e = 0.34 kg CO2e/unit</w:t>
      </w:r>
    </w:p>
    <w:bookmarkEnd w:id="46"/>
    <w:bookmarkEnd w:id="47"/>
    <w:bookmarkStart w:id="48" w:name="summary-of-emissions-by-scope"/>
    <w:p>
      <w:pPr>
        <w:pStyle w:val="Heading2"/>
      </w:pPr>
      <w:r>
        <w:t xml:space="preserve">4.4 Summary of Emissions by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Manufacturing Process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Manufacturing Energy</w:t>
            </w:r>
          </w:p>
        </w:tc>
        <w:tc>
          <w:tcPr/>
          <w:p>
            <w:pPr>
              <w:pStyle w:val="Compact"/>
              <w:jc w:val="left"/>
            </w:pPr>
            <w:r>
              <w:t xml:space="preserve">0.86</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&amp; Services (Materials)</w:t>
            </w:r>
          </w:p>
        </w:tc>
        <w:tc>
          <w:tcPr/>
          <w:p>
            <w:pPr>
              <w:pStyle w:val="Compact"/>
              <w:jc w:val="left"/>
            </w:pPr>
            <w:r>
              <w:t xml:space="preserve">13.15</w:t>
            </w:r>
          </w:p>
        </w:tc>
      </w:tr>
      <w:tr>
        <w:tc>
          <w:tcPr>
            <w:gridSpan w:val="1"/>
            <w:vMerge w:val="continue"/>
          </w:tcPr>
          <w:p>
            <w:pPr/>
          </w:p>
        </w:tc>
        <w:tc>
          <w:tcPr/>
          <w:p>
            <w:pPr>
              <w:pStyle w:val="Compact"/>
              <w:jc w:val="left"/>
            </w:pPr>
            <w:r>
              <w:t xml:space="preserve">Category 4</w:t>
            </w:r>
          </w:p>
        </w:tc>
        <w:tc>
          <w:tcPr/>
          <w:p>
            <w:pPr>
              <w:pStyle w:val="Compact"/>
              <w:jc w:val="left"/>
            </w:pPr>
            <w:r>
              <w:t xml:space="preserve">Upstream Transportation &amp; Distribution</w:t>
            </w:r>
          </w:p>
        </w:tc>
        <w:tc>
          <w:tcPr/>
          <w:p>
            <w:pPr>
              <w:pStyle w:val="Compact"/>
              <w:jc w:val="left"/>
            </w:pPr>
            <w:r>
              <w:t xml:space="preserve">0.04</w:t>
            </w:r>
          </w:p>
        </w:tc>
      </w:tr>
      <w:tr>
        <w:tc>
          <w:tcPr>
            <w:gridSpan w:val="1"/>
            <w:vMerge w:val="continue"/>
          </w:tcPr>
          <w:p>
            <w:pPr/>
          </w:p>
        </w:tc>
        <w:tc>
          <w:tcPr/>
          <w:p>
            <w:pPr>
              <w:pStyle w:val="Compact"/>
              <w:jc w:val="left"/>
            </w:pPr>
            <w:r>
              <w:t xml:space="preserve">Category 9</w:t>
            </w:r>
          </w:p>
        </w:tc>
        <w:tc>
          <w:tcPr/>
          <w:p>
            <w:pPr>
              <w:pStyle w:val="Compact"/>
              <w:jc w:val="left"/>
            </w:pPr>
            <w:r>
              <w:t xml:space="preserve">Downstream Transportation &amp; Distribution (Last-Mile)</w:t>
            </w:r>
          </w:p>
        </w:tc>
        <w:tc>
          <w:tcPr/>
          <w:p>
            <w:pPr>
              <w:pStyle w:val="Compact"/>
              <w:jc w:val="left"/>
            </w:pPr>
            <w:r>
              <w:t xml:space="preserve">0.15</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28.52</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0.34</w:t>
            </w:r>
          </w:p>
        </w:tc>
      </w:tr>
      <w:tr>
        <w:tc>
          <w:tcPr>
            <w:gridSpan w:val="3"/>
          </w:tcPr>
          <w:p>
            <w:pPr>
              <w:pStyle w:val="Compact"/>
              <w:jc w:val="right"/>
            </w:pPr>
            <w:r>
              <w:rPr>
                <w:bCs/>
                <w:b/>
              </w:rPr>
              <w:t xml:space="preserve">Total Product Carbon Footprint (PCF)</w:t>
            </w:r>
          </w:p>
        </w:tc>
        <w:tc>
          <w:tcPr/>
          <w:p>
            <w:pPr>
              <w:pStyle w:val="Compact"/>
              <w:jc w:val="left"/>
            </w:pPr>
            <w:r>
              <w:rPr>
                <w:bCs/>
                <w:b/>
              </w:rPr>
              <w:t xml:space="preserve">42.32</w:t>
            </w:r>
          </w:p>
        </w:tc>
      </w:tr>
    </w:tbl>
    <w:p>
      <w:r>
        <w:pict>
          <v:rect style="width:0;height:1.5pt" o:hralign="center" o:hrstd="t" o:hr="t"/>
        </w:pict>
      </w:r>
    </w:p>
    <w:bookmarkEnd w:id="48"/>
    <w:bookmarkEnd w:id="49"/>
    <w:bookmarkStart w:id="53" w:name="review-report-step-5"/>
    <w:p>
      <w:pPr>
        <w:pStyle w:val="Heading1"/>
      </w:pPr>
      <w:r>
        <w:t xml:space="preserve">5. Review &amp; Report (Step 5)</w:t>
      </w:r>
    </w:p>
    <w:bookmarkStart w:id="50" w:name="hotspots-identification"/>
    <w:p>
      <w:pPr>
        <w:pStyle w:val="Heading2"/>
      </w:pPr>
      <w:r>
        <w:t xml:space="preserve">5.1 Hotspots Identification</w:t>
      </w:r>
    </w:p>
    <w:p>
      <w:pPr>
        <w:pStyle w:val="FirstParagraph"/>
      </w:pPr>
      <w:r>
        <w:t xml:space="preserve">Based on the calculations, the primary emission hotspots for kvpruwxrjn are:</w:t>
      </w:r>
    </w:p>
    <w:p>
      <w:pPr>
        <w:numPr>
          <w:ilvl w:val="0"/>
          <w:numId w:val="1013"/>
        </w:numPr>
        <w:pStyle w:val="Compact"/>
      </w:pPr>
      <w:r>
        <w:rPr>
          <w:bCs/>
          <w:b/>
        </w:rPr>
        <w:t xml:space="preserve">Use Phase (Scope 3, Category 11):</w:t>
      </w:r>
      <w:r>
        <w:t xml:space="preserve"> </w:t>
      </w:r>
      <w:r>
        <w:t xml:space="preserve">Accounting for approximately 67.4% of the total PCF, the energy consumption during the product\'s 5-year lifespan is by far the largest contributor. This highlights the critical importance of improving product energy efficiency and promoting renewable energy adoption by end-users.</w:t>
      </w:r>
    </w:p>
    <w:p>
      <w:pPr>
        <w:numPr>
          <w:ilvl w:val="0"/>
          <w:numId w:val="1013"/>
        </w:numPr>
        <w:pStyle w:val="Compact"/>
      </w:pPr>
      <w:r>
        <w:rPr>
          <w:bCs/>
          <w:b/>
        </w:rPr>
        <w:t xml:space="preserve">Purchased Goods and Services (Scope 3, Category 1):</w:t>
      </w:r>
      <w:r>
        <w:t xml:space="preserve"> </w:t>
      </w:r>
      <w:r>
        <w:t xml:space="preserve">Material acquisition and processing contribute about 31.1% of the total footprint. The specific materials, such as Aluminum Casing and Circuit Board, are significant contributors within this category.</w:t>
      </w:r>
    </w:p>
    <w:p>
      <w:pPr>
        <w:numPr>
          <w:ilvl w:val="0"/>
          <w:numId w:val="1013"/>
        </w:numPr>
        <w:pStyle w:val="Compact"/>
      </w:pPr>
      <w:r>
        <w:rPr>
          <w:bCs/>
          <w:b/>
        </w:rPr>
        <w:t xml:space="preserve">Manufacturing (Scope 2):</w:t>
      </w:r>
      <w:r>
        <w:t xml:space="preserve"> </w:t>
      </w:r>
      <w:r>
        <w:t xml:space="preserve">Purchased electricity for manufacturing is a smaller but notable contributor at around 2.0% of the total. Increasing renewable energy usage at the manufacturing facility is crucial.</w:t>
      </w:r>
    </w:p>
    <w:bookmarkEnd w:id="50"/>
    <w:bookmarkStart w:id="51" w:name="reliability-and-limitations"/>
    <w:p>
      <w:pPr>
        <w:pStyle w:val="Heading2"/>
      </w:pPr>
      <w:r>
        <w:t xml:space="preserve">5.2 Reliability and Limitations</w:t>
      </w:r>
    </w:p>
    <w:p>
      <w:pPr>
        <w:pStyle w:val="FirstParagraph"/>
      </w:pPr>
      <w:r>
        <w:t xml:space="preserve">The reliability of this PCF analysis is high due to the adherence to the GHG Protocol and the incorporation of specific, detailed data points. However, certain limitations inherent in any modeling exercise apply:</w:t>
      </w:r>
    </w:p>
    <w:p>
      <w:pPr>
        <w:numPr>
          <w:ilvl w:val="0"/>
          <w:numId w:val="1014"/>
        </w:numPr>
        <w:pStyle w:val="Compact"/>
      </w:pPr>
      <w:r>
        <w:rPr>
          <w:bCs/>
          <w:b/>
        </w:rPr>
        <w:t xml:space="preserve">Assumptions for Placeholders:</w:t>
      </w:r>
      <w:r>
        <w:t xml:space="preserve"> </w:t>
      </w:r>
      <w:r>
        <w:t xml:space="preserve">Numerical values were assumed for placeholder parameters (e.g., transport mode, distances, energy consumption, recyclability percentages). Actual values may vary and impact the final footprint.</w:t>
      </w:r>
    </w:p>
    <w:p>
      <w:pPr>
        <w:numPr>
          <w:ilvl w:val="0"/>
          <w:numId w:val="1014"/>
        </w:numPr>
        <w:pStyle w:val="Compact"/>
      </w:pPr>
      <w:r>
        <w:rPr>
          <w:bCs/>
          <w:b/>
        </w:rPr>
        <w:t xml:space="preserve">Generic Emission Factors:</w:t>
      </w:r>
      <w:r>
        <w:t xml:space="preserve"> </w:t>
      </w:r>
      <w:r>
        <w:t xml:space="preserve">While industry-standard (Ecoinvent/DEFRA equivalents) emission factors were used for generic processes and electricity grids, product-specific or supplier-specific primary data for all aspects would further enhance accuracy.</w:t>
      </w:r>
    </w:p>
    <w:p>
      <w:pPr>
        <w:numPr>
          <w:ilvl w:val="0"/>
          <w:numId w:val="1014"/>
        </w:numPr>
        <w:pStyle w:val="Compact"/>
      </w:pPr>
      <w:r>
        <w:rPr>
          <w:bCs/>
          <w:b/>
        </w:rPr>
        <w:t xml:space="preserve">System Boundary Interpretation:</w:t>
      </w:r>
      <w:r>
        <w:t xml:space="preserve"> </w:t>
      </w:r>
      <w:r>
        <w:t xml:space="preserve">The inclusion of use phase and end-of-life beyond the strict "factory_gate" definition provides a more comprehensive cradle-to-grave view, as implied by the detailed parameters requested for those stages.</w:t>
      </w:r>
    </w:p>
    <w:p>
      <w:pPr>
        <w:numPr>
          <w:ilvl w:val="0"/>
          <w:numId w:val="1014"/>
        </w:numPr>
        <w:pStyle w:val="Compact"/>
      </w:pPr>
      <w:r>
        <w:rPr>
          <w:bCs/>
          <w:b/>
        </w:rPr>
        <w:t xml:space="preserve">LSR Standard Application:</w:t>
      </w:r>
      <w:r>
        <w:t xml:space="preserve"> </w:t>
      </w:r>
      <w:r>
        <w:t xml:space="preserve">As kvpruwxrjn is not an agricultural or forestry product, direct application of the LSR Standard is limited to acknowledging its existence and relevance for broader Scope 3 considerations.</w:t>
      </w:r>
    </w:p>
    <w:bookmarkEnd w:id="51"/>
    <w:bookmarkStart w:id="52" w:name="recommendations"/>
    <w:p>
      <w:pPr>
        <w:pStyle w:val="Heading2"/>
      </w:pPr>
      <w:r>
        <w:t xml:space="preserve">5.3 Recommendations</w:t>
      </w:r>
    </w:p>
    <w:p>
      <w:pPr>
        <w:pStyle w:val="FirstParagraph"/>
      </w:pPr>
      <w:r>
        <w:t xml:space="preserve">To further reduce the environmental footprint of kvpruwxrjn and enhance jwuohelret\'s sustainability performance, the following recommendations are provided:</w:t>
      </w:r>
    </w:p>
    <w:p>
      <w:pPr>
        <w:numPr>
          <w:ilvl w:val="0"/>
          <w:numId w:val="1015"/>
        </w:numPr>
        <w:pStyle w:val="Compact"/>
      </w:pPr>
      <w:r>
        <w:rPr>
          <w:bCs/>
          <w:b/>
        </w:rPr>
        <w:t xml:space="preserve">Optimize Use Phase Efficiency:</w:t>
      </w:r>
      <w:r>
        <w:t xml:space="preserve"> </w:t>
      </w:r>
      <w:r>
        <w:t xml:space="preserve">Invest in R&amp;D to significantly reduce the energy consumption of kvpruwxrjn during its operational life. Explore low-power modes, smart energy management features, and longer product lifespans.</w:t>
      </w:r>
    </w:p>
    <w:p>
      <w:pPr>
        <w:numPr>
          <w:ilvl w:val="0"/>
          <w:numId w:val="1015"/>
        </w:numPr>
        <w:pStyle w:val="Compact"/>
      </w:pPr>
      <w:r>
        <w:rPr>
          <w:bCs/>
          <w:b/>
        </w:rPr>
        <w:t xml:space="preserve">Sustainable Material Sourcing:</w:t>
      </w:r>
      <w:r>
        <w:t xml:space="preserve"> </w:t>
      </w:r>
      <w:r>
        <w:t xml:space="preserve">Investigate opportunities to source lower-carbon alternative materials or materials with higher recycled content for components identified as hotspots (e.g., Aluminum Casing, plastics). Engage with suppliers to obtain primary, product-specific emission data.</w:t>
      </w:r>
    </w:p>
    <w:p>
      <w:pPr>
        <w:numPr>
          <w:ilvl w:val="0"/>
          <w:numId w:val="1015"/>
        </w:numPr>
        <w:pStyle w:val="Compact"/>
      </w:pPr>
      <w:r>
        <w:rPr>
          <w:bCs/>
          <w:b/>
        </w:rPr>
        <w:t xml:space="preserve">Increase Renewable Energy in Manufacturing:</w:t>
      </w:r>
      <w:r>
        <w:t xml:space="preserve"> </w:t>
      </w:r>
      <w:r>
        <w:t xml:space="preserve">Further increase the share of renewable energy used in jwuohelret\'s manufacturing operations in China, potentially through on-site generation or purchasing high-quality renewable energy certificates.</w:t>
      </w:r>
    </w:p>
    <w:p>
      <w:pPr>
        <w:numPr>
          <w:ilvl w:val="0"/>
          <w:numId w:val="1015"/>
        </w:numPr>
        <w:pStyle w:val="Compact"/>
      </w:pPr>
      <w:r>
        <w:rPr>
          <w:bCs/>
          <w:b/>
        </w:rPr>
        <w:t xml:space="preserve">Enhance Circularity:</w:t>
      </w:r>
      <w:r>
        <w:t xml:space="preserve"> </w:t>
      </w:r>
      <w:r>
        <w:t xml:space="preserve">Expand and promote circular/take-back programs (wvfslgyksp) to increase the effective recycling rate beyond the current xrljdogzqv, and explore product design for easier disassembly and material recovery.</w:t>
      </w:r>
    </w:p>
    <w:p>
      <w:pPr>
        <w:numPr>
          <w:ilvl w:val="0"/>
          <w:numId w:val="1015"/>
        </w:numPr>
        <w:pStyle w:val="Compact"/>
      </w:pPr>
      <w:r>
        <w:rPr>
          <w:bCs/>
          <w:b/>
        </w:rPr>
        <w:t xml:space="preserve">Supply Chain Engagement:</w:t>
      </w:r>
      <w:r>
        <w:t xml:space="preserve"> </w:t>
      </w:r>
      <w:r>
        <w:t xml:space="preserve">Work collaboratively with upstream transport providers to optimize routes, modes (e.g., shifting from road to rail where feasible for European legs), and vehicle efficiency to reduce upstream transport emissions.</w:t>
      </w:r>
    </w:p>
    <w:p>
      <w:r>
        <w:pict>
          <v:rect style="width:0;height:1.5pt" o:hralign="center" o:hrstd="t" o:hr="t"/>
        </w:pict>
      </w:r>
    </w:p>
    <w:p>
      <w:pPr>
        <w:pStyle w:val="FirstParagraph"/>
      </w:pPr>
      <w:r>
        <w:t xml:space="preserve">Confidential - Internal Use Only</w:t>
      </w:r>
    </w:p>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kvpruwxrjn</dc:title>
  <dc:creator/>
  <dc:description>High-detail Product Carbon Footprint (PCF) analysis for kvpruwxrjn, adhering to GHG Protocol and 2026 updates.</dc:description>
  <dc:language>en</dc:language>
  <cp:keywords/>
  <dcterms:created xsi:type="dcterms:W3CDTF">2026-05-30T10:36:39Z</dcterms:created>
  <dcterms:modified xsi:type="dcterms:W3CDTF">2026-05-30T10:36:39Z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