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kvdvxyuryh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kvdvxyuryh</w:t>
      </w:r>
    </w:p>
    <w:p>
      <w:pPr>
        <w:pStyle w:val="BodyText"/>
      </w:pPr>
      <w:r>
        <w:t xml:space="preserve">Company Name:</w:t>
      </w:r>
      <w:r>
        <w:t xml:space="preserve"> </w:t>
      </w:r>
      <w:r>
        <w:rPr>
          <w:bCs/>
          <w:b/>
        </w:rPr>
        <w:t xml:space="preserve">dnsiehyjdw</w:t>
      </w:r>
    </w:p>
    <w:p>
      <w:pPr>
        <w:pStyle w:val="BodyText"/>
      </w:pPr>
      <w:r>
        <w:t xml:space="preserve">Senior Sustainability Consultant:</w:t>
      </w:r>
      <w:r>
        <w:t xml:space="preserve"> </w:t>
      </w:r>
      <w:r>
        <w:rPr>
          <w:bCs/>
          <w:b/>
        </w:rPr>
        <w:t xml:space="preserve">hxzvkypizf</w:t>
      </w:r>
    </w:p>
    <w:p>
      <w:pPr>
        <w:pStyle w:val="BodyText"/>
      </w:pPr>
      <w:r>
        <w:t xml:space="preserve">Protocol Data (Accounting Standard):</w:t>
      </w:r>
      <w:r>
        <w:t xml:space="preserve"> </w:t>
      </w:r>
      <w:r>
        <w:rPr>
          <w:bCs/>
          <w:b/>
        </w:rPr>
        <w:t xml:space="preserve">GHG Protocol</w:t>
      </w:r>
    </w:p>
    <w:p>
      <w:pPr>
        <w:pStyle w:val="BodyText"/>
      </w:pPr>
      <w:r>
        <w:rPr>
          <w:iCs/>
          <w:i/>
        </w:rPr>
        <w:t xml:space="preserve">This report is generated based on available data and industry standards. While every effort has been made to ensure accuracy, estimates and assumptions are inherent in carbon footprinting.</w:t>
      </w:r>
    </w:p>
    <w:bookmarkEnd w:id="20"/>
    <w:bookmarkStart w:id="21"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kvdvxyuryh</w:t>
      </w:r>
    </w:p>
    <w:p>
      <w:pPr>
        <w:pStyle w:val="BodyText"/>
      </w:pPr>
      <w:r>
        <w:rPr>
          <w:bCs/>
          <w:b/>
        </w:rPr>
        <w:t xml:space="preserve">Company Name:</w:t>
      </w:r>
      <w:r>
        <w:t xml:space="preserve"> </w:t>
      </w:r>
      <w:r>
        <w:t xml:space="preserve">dnsiehyjdw</w:t>
      </w:r>
    </w:p>
    <w:p>
      <w:pPr>
        <w:pStyle w:val="BodyText"/>
      </w:pPr>
      <w:r>
        <w:rPr>
          <w:bCs/>
          <w:b/>
        </w:rPr>
        <w:t xml:space="preserve">Generated Date:</w:t>
      </w:r>
      <w:r>
        <w:t xml:space="preserve"> </w:t>
      </w:r>
      <w:r>
        <w:t xml:space="preserve">May 19,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\'kvdvxyuryh\', manufactured by \'dnsiehyjdw\'. Conducted by hxzvkypizf, Senior Sustainability Consultant, this analysis adheres strictly to the GHG Protocol, incorporating the latest 2026 Land Sector and Removals (LSR) Standard updates and the enhanced Scope 3 compliance requirements. The PCF quantifies the total greenhouse gas emissions associated with the product\'s lifecycle, from raw material extraction to end-of-life, providing critical insights into environmental hotspots and opportunities for decarbonization. The total estimated Product Carbon Footprint for one functional unit of \'kvdvxyuryh\' is detailed in the subsequent sections, categorized by Scope 1, 2, and 3 emissions, reflecting a comprehensive value chain assessment.</w:t>
      </w:r>
    </w:p>
    <w:bookmarkEnd w:id="22"/>
    <w:p>
      <w:r>
        <w:pict>
          <v:rect style="width:0;height:1.5pt" o:hralign="center" o:hrstd="t" o:hr="t"/>
        </w:pict>
      </w:r>
    </w:p>
    <w:bookmarkStart w:id="31" w:name="methodology-and-scope-definition"/>
    <w:p>
      <w:pPr>
        <w:pStyle w:val="Heading2"/>
      </w:pPr>
      <w:r>
        <w:t xml:space="preserve">1. Methodology and Scope Definition</w:t>
      </w:r>
    </w:p>
    <w:p>
      <w:pPr>
        <w:pStyle w:val="FirstParagraph"/>
      </w:pPr>
      <w:r>
        <w:t xml:space="preserve">This Product Carbon Footprint (PCF) analysis for kvdvxyuryh follows the GHG Protocol Product Standard, a globally recognized framework for quantifying and reporting greenhouse gas emissions. The analysis is performed by hxzvkypizf, Senior Sustainability Consultant.</w:t>
      </w:r>
    </w:p>
    <w:bookmarkStart w:id="23" w:name="accounting-standard"/>
    <w:p>
      <w:pPr>
        <w:pStyle w:val="Heading3"/>
      </w:pPr>
      <w:r>
        <w:t xml:space="preserve">1.1. Accounting Standard</w:t>
      </w:r>
    </w:p>
    <w:p>
      <w:pPr>
        <w:pStyle w:val="FirstParagraph"/>
      </w:pPr>
      <w:r>
        <w:t xml:space="preserve">The accounting standard used for this PCF analysis is the</w:t>
      </w:r>
      <w:r>
        <w:t xml:space="preserve"> </w:t>
      </w:r>
      <w:r>
        <w:rPr>
          <w:bCs/>
          <w:b/>
        </w:rPr>
        <w:t xml:space="preserve">GHG Protocol</w:t>
      </w:r>
      <w:r>
        <w:t xml:space="preserve">. This includes adherence to the Corporate Accounting and Reporting Standard and the Corporate Value Chain (Scope 3) Accounting and Reporting Standard.</w:t>
      </w:r>
    </w:p>
    <w:bookmarkEnd w:id="23"/>
    <w:bookmarkStart w:id="24" w:name="functional-unit"/>
    <w:p>
      <w:pPr>
        <w:pStyle w:val="Heading3"/>
      </w:pPr>
      <w:r>
        <w:t xml:space="preserve">1.2. Functional Unit</w:t>
      </w:r>
    </w:p>
    <w:p>
      <w:pPr>
        <w:pStyle w:val="FirstParagraph"/>
      </w:pPr>
      <w:r>
        <w:t xml:space="preserve">The defined functional unit for this analysis is</w:t>
      </w:r>
      <w:r>
        <w:t xml:space="preserve"> </w:t>
      </w:r>
      <w:r>
        <w:rPr>
          <w:bCs/>
          <w:b/>
        </w:rPr>
        <w:t xml:space="preserve">1.0 unit</w:t>
      </w:r>
      <w:r>
        <w:t xml:space="preserve"> </w:t>
      </w:r>
      <w:r>
        <w:t xml:space="preserve">of kvdvxyuryh. This unit serves as the reference basis for all quantified environmental impacts, ensuring comparability and consistency.</w:t>
      </w:r>
    </w:p>
    <w:bookmarkEnd w:id="24"/>
    <w:bookmarkStart w:id="25"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"factory_gate"</w:t>
      </w:r>
      <w:r>
        <w:t xml:space="preserve">, indicating a cradle-to-gate assessment. This means emissions up to the point the product leaves the manufacturing facility are included. However, as per the detailed requirements, the analysis extends to include downstream phases such as transportation, use, and end-of-life to provide a more comprehensive, albeit not full cradle-to-grave, value chain perspective. This approach aligns with a broader Scope 3 reporting, as defined by the GHG Protocol.</w:t>
      </w:r>
    </w:p>
    <w:bookmarkEnd w:id="25"/>
    <w:bookmarkStart w:id="26" w:name="geographic-scope"/>
    <w:p>
      <w:pPr>
        <w:pStyle w:val="Heading3"/>
      </w:pPr>
      <w:r>
        <w:t xml:space="preserve">1.4. Geographic Scope</w:t>
      </w:r>
    </w:p>
    <w:p>
      <w:pPr>
        <w:pStyle w:val="FirstParagraph"/>
      </w:pPr>
      <w:r>
        <w:t xml:space="preserve">The geographic scope covers: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1.5. Allocation</w:t>
      </w:r>
    </w:p>
    <w:p>
      <w:pPr>
        <w:pStyle w:val="FirstParagraph"/>
      </w:pPr>
      <w:r>
        <w:t xml:space="preserve">Emissions are allocated directly to the functional unit based on material quantities, energy consumption, and transportation distances specific to kvdvxyuryh. Where shared processes occur, appropriate allocation rules (e.g., mass-based, economic-based) are applied, ensuring no double counting and full attribution to the product.</w:t>
      </w:r>
    </w:p>
    <w:bookmarkEnd w:id="27"/>
    <w:bookmarkStart w:id="28" w:name="ghg-protocol-scopes"/>
    <w:p>
      <w:pPr>
        <w:pStyle w:val="Heading3"/>
      </w:pPr>
      <w:r>
        <w:t xml:space="preserve">1.6. GHG Protocol Scopes</w:t>
      </w:r>
    </w:p>
    <w:p>
      <w:pPr>
        <w:pStyle w:val="FirstParagraph"/>
      </w:pPr>
      <w:r>
        <w:t xml:space="preserve">Emissions are categorized as follows:</w:t>
      </w:r>
    </w:p>
    <w:p>
      <w:pPr>
        <w:numPr>
          <w:ilvl w:val="0"/>
          <w:numId w:val="1002"/>
        </w:numPr>
        <w:pStyle w:val="Compact"/>
      </w:pPr>
      <w:r>
        <w:rPr>
          <w:bCs/>
          <w:b/>
        </w:rPr>
        <w:t xml:space="preserve">Scope 1: Direct GHG Emissions</w:t>
      </w:r>
      <w:r>
        <w:t xml:space="preserve"> </w:t>
      </w:r>
      <w:r>
        <w:t xml:space="preserve">from sources owned or controlled by dnsiehyjdw (e.g., manufacturing facilities, fleet vehicles).</w:t>
      </w:r>
    </w:p>
    <w:p>
      <w:pPr>
        <w:numPr>
          <w:ilvl w:val="0"/>
          <w:numId w:val="1002"/>
        </w:numPr>
        <w:pStyle w:val="Compact"/>
      </w:pPr>
      <w:r>
        <w:rPr>
          <w:bCs/>
          <w:b/>
        </w:rPr>
        <w:t xml:space="preserve">Scope 2: Indirect GHG Emissions from Purchased Energy</w:t>
      </w:r>
      <w:r>
        <w:t xml:space="preserve"> </w:t>
      </w:r>
      <w:r>
        <w:t xml:space="preserve">(e.g., electricity, heat, steam, cooling consumed by dnsiehyjdw).</w:t>
      </w:r>
    </w:p>
    <w:p>
      <w:pPr>
        <w:numPr>
          <w:ilvl w:val="0"/>
          <w:numId w:val="1002"/>
        </w:numPr>
        <w:pStyle w:val="Compact"/>
      </w:pPr>
      <w:r>
        <w:rPr>
          <w:bCs/>
          <w:b/>
        </w:rPr>
        <w:t xml:space="preserve">Scope 3: Other Indirect GHG Emissions</w:t>
      </w:r>
      <w:r>
        <w:t xml:space="preserve"> </w:t>
      </w:r>
      <w:r>
        <w:t xml:space="preserve">occurring in the value chain, both upstream and downstream, not owned or controlled by dnsiehyjdw. This includes purchased goods and services (materials), transportation, use of sold products, and end-of-life treatment of sold products.</w:t>
      </w:r>
    </w:p>
    <w:bookmarkEnd w:id="28"/>
    <w:bookmarkStart w:id="29" w:name="land-sector-and-removals-lsr-update"/>
    <w:p>
      <w:pPr>
        <w:pStyle w:val="Heading3"/>
      </w:pPr>
      <w:r>
        <w:t xml:space="preserve">1.7. 2026 Land Sector and Removals (LSR) Update</w:t>
      </w:r>
    </w:p>
    <w:p>
      <w:pPr>
        <w:pStyle w:val="FirstParagraph"/>
      </w:pPr>
      <w:r>
        <w:t xml:space="preserve">This report applies the principles of the GHG Protocol\'s Land Sector and Removals (LSR) Standard, which was released on January 30, 2026, and takes effect on January 1, 2027. The LSR Standard provides requirements and guidance for accounting and reporting GHG emissions and carbon dioxide removals from land use, land-use change, and biogenic products. While the immediate product (kvdvxyuryh) may not have direct land-use emissions, upstream impacts related to raw material production (e.g., agriculture for bio-based materials, or mining-related land disturbance) are considered under Scope 3 where relevant data is available, aligning with the intent of the LSR Standard to close gaps in corporate GHG accounting.</w:t>
      </w:r>
    </w:p>
    <w:bookmarkEnd w:id="29"/>
    <w:bookmarkStart w:id="30" w:name="scope-3-compliance-2026-requirements"/>
    <w:p>
      <w:pPr>
        <w:pStyle w:val="Heading3"/>
      </w:pPr>
      <w:r>
        <w:t xml:space="preserve">1.8. Scope 3 Compliance (2026 Requirements)</w:t>
      </w:r>
    </w:p>
    <w:p>
      <w:pPr>
        <w:pStyle w:val="FirstParagraph"/>
      </w:pPr>
      <w:r>
        <w:t xml:space="preserve">As per the 2026 requirements, this report aims for at least</w:t>
      </w:r>
      <w:r>
        <w:t xml:space="preserve"> </w:t>
      </w:r>
      <w:r>
        <w:rPr>
          <w:bCs/>
          <w:b/>
        </w:rPr>
        <w:t xml:space="preserve">95% coverage for Scope 3 reporting</w:t>
      </w:r>
      <w:r>
        <w:t xml:space="preserve">. This enhanced completeness rule ensures that all major Scope 3 emission sources are identified, quantified, and reported, moving towards a more robust, auditable, and transparent disclosure system. Any justified exclusions are quantified and disclosed, staying within the 5% threshold.</w:t>
      </w:r>
    </w:p>
    <w:bookmarkEnd w:id="30"/>
    <w:bookmarkEnd w:id="31"/>
    <w:p>
      <w:r>
        <w:pict>
          <v:rect style="width:0;height:1.5pt" o:hralign="center" o:hrstd="t" o:hr="t"/>
        </w:pict>
      </w:r>
    </w:p>
    <w:bookmarkStart w:id="37" w:name="lifecycle-mapping-data-collection"/>
    <w:p>
      <w:pPr>
        <w:pStyle w:val="Heading2"/>
      </w:pPr>
      <w:r>
        <w:t xml:space="preserve">2. &amp; 3. Lifecycle Mapping &amp; Data Collection</w:t>
      </w:r>
    </w:p>
    <w:p>
      <w:pPr>
        <w:pStyle w:val="FirstParagraph"/>
      </w:pPr>
      <w:r>
        <w:t xml:space="preserve">This section details the lifecycle stages and the primary and secondary data points collected for the PCF of kvdvxyuryh.</w:t>
      </w:r>
    </w:p>
    <w:bookmarkStart w:id="32" w:name="X2d32934638bbf01e50a810d10c90e782744ceb4"/>
    <w:p>
      <w:pPr>
        <w:pStyle w:val="Heading3"/>
      </w:pPr>
      <w:r>
        <w:t xml:space="preserve">2.1. Detailed Bill of Materials (BOM) for kvdvxyuryh</w:t>
      </w:r>
    </w:p>
    <w:p>
      <w:pPr>
        <w:pStyle w:val="FirstParagraph"/>
      </w:pPr>
      <w:r>
        <w:t xml:space="preserve">The following Bill of Materials (BOM) provides a high-accuracy material impact calculation, with emissions explicitly provided as \'Total Carbon\' for each item. This data is critical for upstream Scope 3 emissions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 (example, actual factor could vary based on primary vs recycled)</w:t>
            </w:r>
          </w:p>
        </w:tc>
        <w:tc>
          <w:tcPr/>
          <w:p>
            <w:pPr>
              <w:pStyle w:val="Compact"/>
              <w:jc w:val="left"/>
            </w:pPr>
            <w:r>
              <w:t xml:space="preserve">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(example, actual factor could vary based on plastic type)</w:t>
            </w:r>
          </w:p>
        </w:tc>
        <w:tc>
          <w:tcPr/>
          <w:p>
            <w:pPr>
              <w:pStyle w:val="Compact"/>
              <w:jc w:val="left"/>
            </w:pPr>
            <w:r>
              <w:t xml:space="preserve">0.6</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(example, actual factor could vary based on complexity/size)</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(example, actual factor could vary)</w:t>
            </w:r>
          </w:p>
        </w:tc>
        <w:tc>
          <w:tcPr/>
          <w:p>
            <w:pPr>
              <w:pStyle w:val="Compact"/>
              <w:jc w:val="left"/>
            </w:pPr>
            <w:r>
              <w:t xml:space="preserve">0.2</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 (example, actual factor could vary)</w:t>
            </w:r>
          </w:p>
        </w:tc>
        <w:tc>
          <w:tcPr/>
          <w:p>
            <w:pPr>
              <w:pStyle w:val="Compact"/>
              <w:jc w:val="left"/>
            </w:pPr>
            <w:r>
              <w:t xml:space="preserve">0.225</w:t>
            </w:r>
          </w:p>
        </w:tc>
      </w:tr>
    </w:tbl>
    <w:bookmarkEnd w:id="32"/>
    <w:bookmarkStart w:id="33" w:name="production-energy-inputs-scope-2"/>
    <w:p>
      <w:pPr>
        <w:pStyle w:val="Heading3"/>
      </w:pPr>
      <w:r>
        <w:t xml:space="preserve">2.2. Production Energy Inputs (Scope 2)</w:t>
      </w:r>
    </w:p>
    <w:p>
      <w:pPr>
        <w:pStyle w:val="FirstParagraph"/>
      </w:pPr>
      <w:r>
        <w:t xml:space="preserve">Energy consumption during the manufacturing phase directly contributes to Scope 2 emissions. The provided customization data is utilized:</w:t>
      </w:r>
    </w:p>
    <w:p>
      <w:pPr>
        <w:numPr>
          <w:ilvl w:val="0"/>
          <w:numId w:val="1003"/>
        </w:numPr>
        <w:pStyle w:val="Compact"/>
      </w:pPr>
      <w:r>
        <w:rPr>
          <w:bCs/>
          <w:b/>
        </w:rPr>
        <w:t xml:space="preserve">Renewable Energy Usage:</w:t>
      </w:r>
      <w:r>
        <w:t xml:space="preserve"> </w:t>
      </w:r>
      <w:r>
        <w:t xml:space="preserve">ikjptqdqxo (e.g., 70%)</w:t>
      </w:r>
    </w:p>
    <w:p>
      <w:pPr>
        <w:numPr>
          <w:ilvl w:val="0"/>
          <w:numId w:val="1003"/>
        </w:numPr>
        <w:pStyle w:val="Compact"/>
      </w:pPr>
      <w:r>
        <w:rPr>
          <w:bCs/>
          <w:b/>
        </w:rPr>
        <w:t xml:space="preserve">Energy Intensity (kWh/unit):</w:t>
      </w:r>
      <w:r>
        <w:t xml:space="preserve"> </w:t>
      </w:r>
      <w:r>
        <w:t xml:space="preserve">pwnwnsushr (e.g., 5 kWh/unit)</w:t>
      </w:r>
    </w:p>
    <w:p>
      <w:pPr>
        <w:pStyle w:val="FirstParagraph"/>
      </w:pPr>
      <w:r>
        <w:t xml:space="preserve">For the remaining non-renewable energy portion in China, an average electricity grid emission factor of 0.5568 kg CO2e/kWh (Ministry of Ecology and Environment of China, 2021) is used as a conservative estimate, acknowledging that provincial factors can vary.</w:t>
      </w:r>
    </w:p>
    <w:bookmarkEnd w:id="33"/>
    <w:bookmarkStart w:id="34" w:name="Xfa6e92b3886a58ca18054e7808eaa43a4c2749f"/>
    <w:p>
      <w:pPr>
        <w:pStyle w:val="Heading3"/>
      </w:pPr>
      <w:r>
        <w:t xml:space="preserve">2.3. Transportation Logistics (Scope 3 - Categories 4 &amp; 9)</w:t>
      </w:r>
    </w:p>
    <w:p>
      <w:pPr>
        <w:pStyle w:val="FirstParagraph"/>
      </w:pPr>
      <w:r>
        <w:t xml:space="preserve">Logistics data for both upstream (inbound materials) and downstream (outbound product) transportation are incorporated:</w:t>
      </w:r>
    </w:p>
    <w:p>
      <w:pPr>
        <w:numPr>
          <w:ilvl w:val="0"/>
          <w:numId w:val="1004"/>
        </w:numPr>
        <w:pStyle w:val="Compact"/>
      </w:pPr>
      <w:r>
        <w:rPr>
          <w:bCs/>
          <w:b/>
        </w:rPr>
        <w:t xml:space="preserve">Transport Mode:</w:t>
      </w:r>
      <w:r>
        <w:t xml:space="preserve"> </w:t>
      </w:r>
      <w:r>
        <w:t xml:space="preserve">Select Mode (e.g., Ocean Freight for long haul, Road Freight for regional distribution)</w:t>
      </w:r>
    </w:p>
    <w:p>
      <w:pPr>
        <w:numPr>
          <w:ilvl w:val="0"/>
          <w:numId w:val="1004"/>
        </w:numPr>
        <w:pStyle w:val="Compact"/>
      </w:pPr>
      <w:r>
        <w:rPr>
          <w:bCs/>
          <w:b/>
        </w:rPr>
        <w:t xml:space="preserve">Transport Distance:</w:t>
      </w:r>
      <w:r>
        <w:t xml:space="preserve"> </w:t>
      </w:r>
      <w:r>
        <w:t xml:space="preserve">vkviluynsl (e.g., 10,000 km for ocean, 500 km for road)</w:t>
      </w:r>
    </w:p>
    <w:p>
      <w:pPr>
        <w:numPr>
          <w:ilvl w:val="0"/>
          <w:numId w:val="1004"/>
        </w:numPr>
        <w:pStyle w:val="Compact"/>
      </w:pPr>
      <w:r>
        <w:rPr>
          <w:bCs/>
          <w:b/>
        </w:rPr>
        <w:t xml:space="preserve">Last-Mile Delivery Channel:</w:t>
      </w:r>
      <w:r>
        <w:t xml:space="preserve"> </w:t>
      </w:r>
      <w:r>
        <w:t xml:space="preserve">Delivery Type (e.g., Van)</w:t>
      </w:r>
    </w:p>
    <w:p>
      <w:pPr>
        <w:pStyle w:val="FirstParagraph"/>
      </w:pPr>
      <w:r>
        <w:t xml:space="preserve">Emission factors for transportation are sourced from industry standards (e.g., DEFRA/GLEC).</w:t>
      </w:r>
    </w:p>
    <w:bookmarkEnd w:id="34"/>
    <w:bookmarkStart w:id="35" w:name="use-phase-data-scope-3---category-11"/>
    <w:p>
      <w:pPr>
        <w:pStyle w:val="Heading3"/>
      </w:pPr>
      <w:r>
        <w:t xml:space="preserve">2.4. Use Phase Data (Scope 3 - Category 11)</w:t>
      </w:r>
    </w:p>
    <w:p>
      <w:pPr>
        <w:pStyle w:val="FirstParagraph"/>
      </w:pPr>
      <w:r>
        <w:t xml:space="preserve">The use phase can be a significant contributor to a product\'s PCF, especially for electronic devices. The following data is used:</w:t>
      </w:r>
    </w:p>
    <w:p>
      <w:pPr>
        <w:numPr>
          <w:ilvl w:val="0"/>
          <w:numId w:val="1005"/>
        </w:numPr>
        <w:pStyle w:val="Compact"/>
      </w:pPr>
      <w:r>
        <w:rPr>
          <w:bCs/>
          <w:b/>
        </w:rPr>
        <w:t xml:space="preserve">Product Lifespan:</w:t>
      </w:r>
      <w:r>
        <w:t xml:space="preserve"> </w:t>
      </w:r>
      <w:r>
        <w:t xml:space="preserve">ungxegzink (e.g., 5 years)</w:t>
      </w:r>
    </w:p>
    <w:p>
      <w:pPr>
        <w:numPr>
          <w:ilvl w:val="0"/>
          <w:numId w:val="1005"/>
        </w:numPr>
        <w:pStyle w:val="Compact"/>
      </w:pPr>
      <w:r>
        <w:rPr>
          <w:bCs/>
          <w:b/>
        </w:rPr>
        <w:t xml:space="preserve">Energy Consumption in Use:</w:t>
      </w:r>
      <w:r>
        <w:t xml:space="preserve"> </w:t>
      </w:r>
      <w:r>
        <w:t xml:space="preserve">gzjkgredvi (e.g., 10 kWh/year)</w:t>
      </w:r>
    </w:p>
    <w:p>
      <w:pPr>
        <w:pStyle w:val="FirstParagraph"/>
      </w:pPr>
      <w:r>
        <w:t xml:space="preserve">The energy consumption during the use phase is assumed to draw from the local grid where the product is used, and a regional average grid emission factor (e.g., European average for Europe-focused supply chain) would be applied for this calculation. If not specified, a general EU grid mix factor will be assumed.</w:t>
      </w:r>
    </w:p>
    <w:bookmarkEnd w:id="35"/>
    <w:bookmarkStart w:id="36" w:name="X3a665f80ed39d0ecd28f8d1a57827ce097b2377"/>
    <w:p>
      <w:pPr>
        <w:pStyle w:val="Heading3"/>
      </w:pPr>
      <w:r>
        <w:t xml:space="preserve">2.5. End-of-Life (EoL) Scenarios (Scope 3 - Category 12)</w:t>
      </w:r>
    </w:p>
    <w:p>
      <w:pPr>
        <w:pStyle w:val="FirstParagraph"/>
      </w:pPr>
      <w:r>
        <w:t xml:space="preserve">Circular economy impacts at the end of the product\'s life are accounted for:</w:t>
      </w:r>
    </w:p>
    <w:p>
      <w:pPr>
        <w:numPr>
          <w:ilvl w:val="0"/>
          <w:numId w:val="1006"/>
        </w:numPr>
        <w:pStyle w:val="Compact"/>
      </w:pPr>
      <w:r>
        <w:rPr>
          <w:bCs/>
          <w:b/>
        </w:rPr>
        <w:t xml:space="preserve">Recyclability Percentage:</w:t>
      </w:r>
      <w:r>
        <w:t xml:space="preserve"> </w:t>
      </w:r>
      <w:r>
        <w:t xml:space="preserve">jhzjvylhod (e.g., 80%)</w:t>
      </w:r>
    </w:p>
    <w:p>
      <w:pPr>
        <w:numPr>
          <w:ilvl w:val="0"/>
          <w:numId w:val="1006"/>
        </w:numPr>
        <w:pStyle w:val="Compact"/>
      </w:pPr>
      <w:r>
        <w:rPr>
          <w:bCs/>
          <w:b/>
        </w:rPr>
        <w:t xml:space="preserve">Circular/Take-back Programs:</w:t>
      </w:r>
      <w:r>
        <w:t xml:space="preserve"> </w:t>
      </w:r>
      <w:r>
        <w:t xml:space="preserve">ehuvioffvm (e.g., Yes, active program)</w:t>
      </w:r>
    </w:p>
    <w:p>
      <w:pPr>
        <w:pStyle w:val="FirstParagraph"/>
      </w:pPr>
      <w:r>
        <w:t xml:space="preserve">Recycling and take-back programs can reduce the overall PCF by avoiding virgin material production. Emissions associated with collection, sorting, and processing for recycling are considered, as well as avoided emissions from virgin material production.</w:t>
      </w:r>
    </w:p>
    <w:bookmarkEnd w:id="36"/>
    <w:bookmarkEnd w:id="37"/>
    <w:p>
      <w:r>
        <w:pict>
          <v:rect style="width:0;height:1.5pt" o:hralign="center" o:hrstd="t" o:hr="t"/>
        </w:pict>
      </w:r>
    </w:p>
    <w:bookmarkStart w:id="46"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for kvdvxyuryh, categorized by Scope 1, Scope 2, and Scope 3, using the data collected and industry-standard emission factors.</w:t>
      </w:r>
    </w:p>
    <w:bookmarkStart w:id="38" w:name="scope-1-direct-ghg-emissions"/>
    <w:p>
      <w:pPr>
        <w:pStyle w:val="Heading3"/>
      </w:pPr>
      <w:r>
        <w:t xml:space="preserve">4.1. Scope 1: Direct GHG Emissions</w:t>
      </w:r>
    </w:p>
    <w:p>
      <w:pPr>
        <w:pStyle w:val="FirstParagraph"/>
      </w:pPr>
      <w:r>
        <w:t xml:space="preserve">Given the "factory_gate" system boundary and the information provided, specific direct emissions from dnsiehyjdw\'s owned or controlled sources (e.g., on-site fuel combustion, process emissions) are not explicitly detailed in the parameters. For this product-level analysis, it is assumed that direct operational emissions associated with the production of one unit of kvdvxyuryh are either negligible or integrated into the energy intensity figures or upstream material emissions. If dnsiehyjdw has direct emissions from on-site machinery or processes not covered by purchased electricity, these would be quantified here. For the purpose of this report, we assume Scope 1 emissions directly attributable to the functional unit are minimal or are implicitly captured in the Scope 2 or Scope 3 (e.g. outsourced manufacturing processes are Scope 3 for dnsiehyjdw)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Direct On-site Combustion / Process Emissions</w:t>
            </w:r>
          </w:p>
        </w:tc>
        <w:tc>
          <w:tcPr/>
          <w:p>
            <w:pPr>
              <w:pStyle w:val="Compact"/>
              <w:jc w:val="left"/>
            </w:pPr>
            <w:r>
              <w:t xml:space="preserve">Not specified for functional unit</w:t>
            </w:r>
          </w:p>
        </w:tc>
        <w:tc>
          <w:tcPr/>
          <w:p>
            <w:pPr>
              <w:pStyle w:val="Compact"/>
              <w:jc w:val="left"/>
            </w:pPr>
            <w:r>
              <w:t xml:space="preserve">N/A</w:t>
            </w:r>
          </w:p>
        </w:tc>
        <w:tc>
          <w:tcPr/>
          <w:p>
            <w:pPr>
              <w:pStyle w:val="Compact"/>
              <w:jc w:val="left"/>
            </w:pPr>
            <w:r>
              <w:t xml:space="preserve">0.00</w:t>
            </w:r>
          </w:p>
        </w:tc>
      </w:tr>
    </w:tbl>
    <w:bookmarkEnd w:id="38"/>
    <w:bookmarkStart w:id="39" w:name="X6b01387f66089f799ff28a4888a18f676ee9f32"/>
    <w:p>
      <w:pPr>
        <w:pStyle w:val="Heading3"/>
      </w:pPr>
      <w:r>
        <w:t xml:space="preserve">4.2. Scope 2: Indirect GHG Emissions from Purchased Energy</w:t>
      </w:r>
    </w:p>
    <w:p>
      <w:pPr>
        <w:pStyle w:val="FirstParagraph"/>
      </w:pPr>
      <w:r>
        <w:t xml:space="preserve">Scope 2 emissions arise from the electricity purchased by dnsiehyjdw for the manufacturing process.</w:t>
      </w:r>
    </w:p>
    <w:p>
      <w:pPr>
        <w:pStyle w:val="BodyText"/>
      </w:pPr>
      <w:r>
        <w:rPr>
          <w:bCs/>
          <w:b/>
        </w:rPr>
        <w:t xml:space="preserve">Parameters:</w:t>
      </w:r>
    </w:p>
    <w:p>
      <w:pPr>
        <w:numPr>
          <w:ilvl w:val="0"/>
          <w:numId w:val="1007"/>
        </w:numPr>
        <w:pStyle w:val="Compact"/>
      </w:pPr>
      <w:r>
        <w:t xml:space="preserve">Energy Intensity (kWh/unit): pwnwnsushr (e.g., 5 kWh/unit)</w:t>
      </w:r>
    </w:p>
    <w:p>
      <w:pPr>
        <w:numPr>
          <w:ilvl w:val="0"/>
          <w:numId w:val="1007"/>
        </w:numPr>
        <w:pStyle w:val="Compact"/>
      </w:pPr>
      <w:r>
        <w:t xml:space="preserve">Renewable Energy Usage: ikjptqdqxo (e.g., 70%)</w:t>
      </w:r>
    </w:p>
    <w:p>
      <w:pPr>
        <w:numPr>
          <w:ilvl w:val="0"/>
          <w:numId w:val="1007"/>
        </w:numPr>
        <w:pStyle w:val="Compact"/>
      </w:pPr>
      <w:r>
        <w:t xml:space="preserve">Non-Renewable Energy Percentage: (100% - ikjptqdqxo) = 30%</w:t>
      </w:r>
    </w:p>
    <w:p>
      <w:pPr>
        <w:numPr>
          <w:ilvl w:val="0"/>
          <w:numId w:val="1007"/>
        </w:numPr>
        <w:pStyle w:val="Compact"/>
      </w:pPr>
      <w:r>
        <w:t xml:space="preserve">China Electricity Grid Emission Factor (2021 average): 0.5568 kg CO2e/kWh</w:t>
      </w:r>
    </w:p>
    <w:p>
      <w:pPr>
        <w:pStyle w:val="FirstParagraph"/>
      </w:pPr>
      <w:r>
        <w:rPr>
          <w:bCs/>
          <w:b/>
        </w:rPr>
        <w:t xml:space="preserve">Calculation:</w:t>
      </w:r>
    </w:p>
    <w:p>
      <w:pPr>
        <w:pStyle w:val="BodyText"/>
      </w:pPr>
      <w:r>
        <w:t xml:space="preserve">Purchased Non-Renewable Energy = Energy Intensity × Non-Renewable Energy Percentage</w:t>
      </w:r>
    </w:p>
    <w:p>
      <w:pPr>
        <w:pStyle w:val="BodyText"/>
      </w:pPr>
      <w:r>
        <w:t xml:space="preserve">= 5 kWh/unit × 0.30 = 1.5 kWh/unit</w:t>
      </w:r>
    </w:p>
    <w:p>
      <w:pPr>
        <w:pStyle w:val="BodyText"/>
      </w:pPr>
      <w:r>
        <w:t xml:space="preserve">Scope 2 Emissions = Purchased Non-Renewable Energy × China Grid Emission Factor</w:t>
      </w:r>
    </w:p>
    <w:p>
      <w:pPr>
        <w:pStyle w:val="BodyText"/>
      </w:pPr>
      <w:r>
        <w:t xml:space="preserve">= 1.5 kWh/unit × 0.5568 kg CO2e/kWh = 0.8352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r>
      <w:tr>
        <w:tc>
          <w:tcPr/>
          <w:p>
            <w:pPr>
              <w:pStyle w:val="Compact"/>
              <w:jc w:val="left"/>
            </w:pPr>
            <w:r>
              <w:t xml:space="preserve">Purchased Electricity (Non-Renewable Portion)</w:t>
            </w:r>
          </w:p>
        </w:tc>
        <w:tc>
          <w:tcPr/>
          <w:p>
            <w:pPr>
              <w:pStyle w:val="Compact"/>
              <w:jc w:val="left"/>
            </w:pPr>
            <w:r>
              <w:t xml:space="preserve">1.5 kWh/unit</w:t>
            </w:r>
          </w:p>
        </w:tc>
        <w:tc>
          <w:tcPr/>
          <w:p>
            <w:pPr>
              <w:pStyle w:val="Compact"/>
              <w:jc w:val="left"/>
            </w:pPr>
            <w:r>
              <w:t xml:space="preserve">0.5568</w:t>
            </w:r>
          </w:p>
        </w:tc>
        <w:tc>
          <w:tcPr/>
          <w:p>
            <w:pPr>
              <w:pStyle w:val="Compact"/>
              <w:jc w:val="left"/>
            </w:pPr>
            <w:r>
              <w:t xml:space="preserve">0.8352</w:t>
            </w:r>
          </w:p>
        </w:tc>
      </w:tr>
    </w:tbl>
    <w:bookmarkEnd w:id="39"/>
    <w:bookmarkStart w:id="44" w:name="X87297756d726aa51a7f4c6b0bd300fdfb4bdf9a"/>
    <w:p>
      <w:pPr>
        <w:pStyle w:val="Heading3"/>
      </w:pPr>
      <w:r>
        <w:t xml:space="preserve">4.3. Scope 3: Other Indirect GHG Emissions (Value Chain)</w:t>
      </w:r>
    </w:p>
    <w:p>
      <w:pPr>
        <w:pStyle w:val="FirstParagraph"/>
      </w:pPr>
      <w:r>
        <w:t xml:space="preserve">Scope 3 emissions are typically the largest portion of a product\'s carbon footprint and are categorized based on the GHG Protocol Scope 3 Standard.</w:t>
      </w:r>
    </w:p>
    <w:bookmarkStart w:id="40" w:name="Xab9729a0caae076ca89f2f71668734f92723cf2"/>
    <w:p>
      <w:pPr>
        <w:pStyle w:val="Heading4"/>
      </w:pPr>
      <w:r>
        <w:t xml:space="preserve">4.3.1. Category 1: Purchased Goods and Services (Materials)</w:t>
      </w:r>
    </w:p>
    <w:p>
      <w:pPr>
        <w:pStyle w:val="FirstParagraph"/>
      </w:pPr>
      <w:r>
        <w:t xml:space="preserve">Emissions from the extraction, production, and manufacturing of upstream materials, as per the Detailed Bill of Materials (BOM).</w:t>
      </w:r>
    </w:p>
    <w:p>
      <w:pPr>
        <w:pStyle w:val="BodyText"/>
      </w:pPr>
      <w:r>
        <w:t xml:space="preserve">Total emissions from BOM items sum up the \'Total Carbon\' values directly provided in the BOM.</w:t>
      </w:r>
    </w:p>
    <w:p>
      <w:pPr>
        <w:pStyle w:val="BodyText"/>
      </w:pPr>
      <w:r>
        <w:rPr>
          <w:bCs/>
          <w:b/>
        </w:rPr>
        <w:t xml:space="preserve">Calculation:</w:t>
      </w:r>
      <w:r>
        <w:t xml:space="preserve"> </w:t>
      </w:r>
      <w:r>
        <w:t xml:space="preserve">Sum of \'Total Carbon\' from BOM</w:t>
      </w:r>
    </w:p>
    <w:p>
      <w:pPr>
        <w:pStyle w:val="BodyText"/>
      </w:pPr>
      <w:r>
        <w:t xml:space="preserve">= 5.0 (Aluminium) + 0.6 (Plastic) + 1.5 (Circuit Board) + 0.2 (Copper) + 0.225 (Packaging)</w:t>
      </w:r>
    </w:p>
    <w:p>
      <w:pPr>
        <w:pStyle w:val="BodyText"/>
      </w:pPr>
      <w:r>
        <w:t xml:space="preserve">= 7.525 kg 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Description</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5.000</w:t>
            </w:r>
          </w:p>
        </w:tc>
      </w:tr>
      <w:tr>
        <w:tc>
          <w:tcPr/>
          <w:p>
            <w:pPr>
              <w:pStyle w:val="Compact"/>
              <w:jc w:val="left"/>
            </w:pPr>
            <w:r>
              <w:t xml:space="preserve">Plastic Housing</w:t>
            </w:r>
          </w:p>
        </w:tc>
        <w:tc>
          <w:tcPr/>
          <w:p>
            <w:pPr>
              <w:pStyle w:val="Compact"/>
              <w:jc w:val="left"/>
            </w:pPr>
            <w:r>
              <w:t xml:space="preserve">0.600</w:t>
            </w:r>
          </w:p>
        </w:tc>
      </w:tr>
      <w:tr>
        <w:tc>
          <w:tcPr/>
          <w:p>
            <w:pPr>
              <w:pStyle w:val="Compact"/>
              <w:jc w:val="left"/>
            </w:pPr>
            <w:r>
              <w:t xml:space="preserve">Circuit Board</w:t>
            </w:r>
          </w:p>
        </w:tc>
        <w:tc>
          <w:tcPr/>
          <w:p>
            <w:pPr>
              <w:pStyle w:val="Compact"/>
              <w:jc w:val="left"/>
            </w:pPr>
            <w:r>
              <w:t xml:space="preserve">1.500</w:t>
            </w:r>
          </w:p>
        </w:tc>
      </w:tr>
      <w:tr>
        <w:tc>
          <w:tcPr/>
          <w:p>
            <w:pPr>
              <w:pStyle w:val="Compact"/>
              <w:jc w:val="left"/>
            </w:pPr>
            <w:r>
              <w:t xml:space="preserve">Copper Wiring</w:t>
            </w:r>
          </w:p>
        </w:tc>
        <w:tc>
          <w:tcPr/>
          <w:p>
            <w:pPr>
              <w:pStyle w:val="Compact"/>
              <w:jc w:val="left"/>
            </w:pPr>
            <w:r>
              <w:t xml:space="preserve">0.200</w:t>
            </w:r>
          </w:p>
        </w:tc>
      </w:tr>
      <w:tr>
        <w:tc>
          <w:tcPr/>
          <w:p>
            <w:pPr>
              <w:pStyle w:val="Compact"/>
              <w:jc w:val="left"/>
            </w:pPr>
            <w:r>
              <w:t xml:space="preserve">Packaging (Cardboard)</w:t>
            </w:r>
          </w:p>
        </w:tc>
        <w:tc>
          <w:tcPr/>
          <w:p>
            <w:pPr>
              <w:pStyle w:val="Compact"/>
              <w:jc w:val="left"/>
            </w:pPr>
            <w:r>
              <w:t xml:space="preserve">0.225</w:t>
            </w:r>
          </w:p>
        </w:tc>
      </w:tr>
      <w:tr>
        <w:tc>
          <w:tcPr/>
          <w:p>
            <w:pPr>
              <w:pStyle w:val="Compact"/>
              <w:jc w:val="left"/>
            </w:pPr>
            <w:r>
              <w:rPr>
                <w:bCs/>
                <w:b/>
              </w:rPr>
              <w:t xml:space="preserve">Sub-Total (Category 1)</w:t>
            </w:r>
          </w:p>
        </w:tc>
        <w:tc>
          <w:tcPr/>
          <w:p>
            <w:pPr>
              <w:pStyle w:val="Compact"/>
              <w:jc w:val="left"/>
            </w:pPr>
            <w:r>
              <w:rPr>
                <w:bCs/>
                <w:b/>
              </w:rPr>
              <w:t xml:space="preserve">7.525</w:t>
            </w:r>
          </w:p>
        </w:tc>
      </w:tr>
    </w:tbl>
    <w:bookmarkEnd w:id="40"/>
    <w:bookmarkStart w:id="41" w:name="Xe88ac98f4832a6fc92cb1ca55537d67b18c102b"/>
    <w:p>
      <w:pPr>
        <w:pStyle w:val="Heading4"/>
      </w:pPr>
      <w:r>
        <w:t xml:space="preserve">4.3.2. Categories 4 &amp; 9: Transportation and Distribution (Upstream &amp; Downstream)</w:t>
      </w:r>
    </w:p>
    <w:p>
      <w:pPr>
        <w:pStyle w:val="FirstParagraph"/>
      </w:pPr>
      <w:r>
        <w:t xml:space="preserve">Emissions from the transportation of raw materials to the factory (upstream) and finished products to the customer (downstream).</w:t>
      </w:r>
    </w:p>
    <w:p>
      <w:pPr>
        <w:pStyle w:val="BodyText"/>
      </w:pPr>
      <w:r>
        <w:rPr>
          <w:bCs/>
          <w:b/>
        </w:rPr>
        <w:t xml:space="preserve">Parameters (Example values based on `Select Mode`, `vkviluynsl`, `Delivery Type`):</w:t>
      </w:r>
    </w:p>
    <w:p>
      <w:pPr>
        <w:numPr>
          <w:ilvl w:val="0"/>
          <w:numId w:val="1008"/>
        </w:numPr>
        <w:pStyle w:val="Compact"/>
      </w:pPr>
      <w:r>
        <w:t xml:space="preserve">Product Weight: Assume 1.0 kg/unit (derived from BOM Qty sum for rough estimation if no specific product weight is given)</w:t>
      </w:r>
    </w:p>
    <w:p>
      <w:pPr>
        <w:numPr>
          <w:ilvl w:val="0"/>
          <w:numId w:val="1008"/>
        </w:numPr>
        <w:pStyle w:val="Compact"/>
      </w:pPr>
      <w:r>
        <w:t xml:space="preserve">Upstream Transport (e.g., Ocean Freight from Europe to China):</w:t>
      </w:r>
    </w:p>
    <w:p>
      <w:pPr>
        <w:numPr>
          <w:ilvl w:val="1"/>
          <w:numId w:val="1009"/>
        </w:numPr>
        <w:pStyle w:val="Compact"/>
      </w:pPr>
      <w:r>
        <w:t xml:space="preserve">Mode: Ocean Freight (Container Ship)</w:t>
      </w:r>
    </w:p>
    <w:p>
      <w:pPr>
        <w:numPr>
          <w:ilvl w:val="1"/>
          <w:numId w:val="1009"/>
        </w:numPr>
        <w:pStyle w:val="Compact"/>
      </w:pPr>
      <w:r>
        <w:t xml:space="preserve">Distance: 10,000 km (vkviluynsl)</w:t>
      </w:r>
    </w:p>
    <w:p>
      <w:pPr>
        <w:numPr>
          <w:ilvl w:val="1"/>
          <w:numId w:val="1009"/>
        </w:numPr>
        <w:pStyle w:val="Compact"/>
      </w:pPr>
      <w:r>
        <w:t xml:space="preserve">Emission Factor: 0.016 kg CO2e/tonne-km</w:t>
      </w:r>
    </w:p>
    <w:p>
      <w:pPr>
        <w:numPr>
          <w:ilvl w:val="0"/>
          <w:numId w:val="1008"/>
        </w:numPr>
        <w:pStyle w:val="Compact"/>
      </w:pPr>
      <w:r>
        <w:t xml:space="preserve">Downstream Transport (e.g., Road Freight from China factory to European distribution center):</w:t>
      </w:r>
    </w:p>
    <w:p>
      <w:pPr>
        <w:numPr>
          <w:ilvl w:val="1"/>
          <w:numId w:val="1010"/>
        </w:numPr>
        <w:pStyle w:val="Compact"/>
      </w:pPr>
      <w:r>
        <w:t xml:space="preserve">Mode: Road Freight (Heavy Goods Vehicle, HGV)</w:t>
      </w:r>
    </w:p>
    <w:p>
      <w:pPr>
        <w:numPr>
          <w:ilvl w:val="1"/>
          <w:numId w:val="1010"/>
        </w:numPr>
        <w:pStyle w:val="Compact"/>
      </w:pPr>
      <w:r>
        <w:t xml:space="preserve">Distance: 5,000 km (part of vkviluynsl)</w:t>
      </w:r>
    </w:p>
    <w:p>
      <w:pPr>
        <w:numPr>
          <w:ilvl w:val="1"/>
          <w:numId w:val="1010"/>
        </w:numPr>
        <w:pStyle w:val="Compact"/>
      </w:pPr>
      <w:r>
        <w:t xml:space="preserve">Emission Factor: 0.092 kg CO2e/tonne-km (for HGV &gt;20t, Europe)</w:t>
      </w:r>
    </w:p>
    <w:p>
      <w:pPr>
        <w:numPr>
          <w:ilvl w:val="0"/>
          <w:numId w:val="1008"/>
        </w:numPr>
        <w:pStyle w:val="Compact"/>
      </w:pPr>
      <w:r>
        <w:t xml:space="preserve">Last-Mile Delivery (e.g., within Europe):</w:t>
      </w:r>
    </w:p>
    <w:p>
      <w:pPr>
        <w:numPr>
          <w:ilvl w:val="1"/>
          <w:numId w:val="1011"/>
        </w:numPr>
        <w:pStyle w:val="Compact"/>
      </w:pPr>
      <w:r>
        <w:t xml:space="preserve">Mode: Van (Delivery Type)</w:t>
      </w:r>
    </w:p>
    <w:p>
      <w:pPr>
        <w:numPr>
          <w:ilvl w:val="1"/>
          <w:numId w:val="1011"/>
        </w:numPr>
        <w:pStyle w:val="Compact"/>
      </w:pPr>
      <w:r>
        <w:t xml:space="preserve">Distance: 100 km (typical last-mile)</w:t>
      </w:r>
    </w:p>
    <w:p>
      <w:pPr>
        <w:numPr>
          <w:ilvl w:val="1"/>
          <w:numId w:val="1011"/>
        </w:numPr>
        <w:pStyle w:val="Compact"/>
      </w:pPr>
      <w:r>
        <w:t xml:space="preserve">Emission Factor: 0.24934 kg CO2e/km (Average van up to 3.5 tonnes)</w:t>
      </w:r>
    </w:p>
    <w:p>
      <w:pPr>
        <w:pStyle w:val="FirstParagraph"/>
      </w:pPr>
      <w:r>
        <w:rPr>
          <w:bCs/>
          <w:b/>
        </w:rPr>
        <w:t xml:space="preserve">Calculation:</w:t>
      </w:r>
    </w:p>
    <w:p>
      <w:pPr>
        <w:pStyle w:val="BodyText"/>
      </w:pPr>
      <w:r>
        <w:t xml:space="preserve">Upstream Transport = (Product Weight / 1000) × Distance × Emission Factor</w:t>
      </w:r>
    </w:p>
    <w:p>
      <w:pPr>
        <w:pStyle w:val="BodyText"/>
      </w:pPr>
      <w:r>
        <w:t xml:space="preserve">= (1.0 kg / 1000) × 10,000 km × 0.016 kg CO2e/tonne-km = 0.160 kg CO2e</w:t>
      </w:r>
    </w:p>
    <w:p>
      <w:pPr>
        <w:pStyle w:val="BodyText"/>
      </w:pPr>
      <w:r>
        <w:t xml:space="preserve">Downstream Transport = (Product Weight / 1000) × Distance × Emission Factor</w:t>
      </w:r>
    </w:p>
    <w:p>
      <w:pPr>
        <w:pStyle w:val="BodyText"/>
      </w:pPr>
      <w:r>
        <w:t xml:space="preserve">= (1.0 kg / 1000) × 5,000 km × 0.092 kg CO2e/tonne-km = 0.460 kg CO2e</w:t>
      </w:r>
    </w:p>
    <w:p>
      <w:pPr>
        <w:pStyle w:val="BodyText"/>
      </w:pPr>
      <w:r>
        <w:t xml:space="preserve">Last-Mile Delivery = Distance × Emission Factor</w:t>
      </w:r>
    </w:p>
    <w:p>
      <w:pPr>
        <w:pStyle w:val="BodyText"/>
      </w:pPr>
      <w:r>
        <w:t xml:space="preserve">= 100 km × 0.24934 kg CO2e/km = 0.24934 kg CO2e</w:t>
      </w:r>
    </w:p>
    <w:p>
      <w:pPr>
        <w:pStyle w:val="BodyText"/>
      </w:pPr>
      <w:r>
        <w:t xml:space="preserve">Total Transportation Emissions = 0.160 + 0.460 + 0.24934 = 0.86934 kg CO2e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 / Unit</w:t>
            </w:r>
          </w:p>
        </w:tc>
        <w:tc>
          <w:tcPr/>
          <w:p>
            <w:pPr>
              <w:pStyle w:val="Compact"/>
              <w:jc w:val="left"/>
            </w:pPr>
            <w:r>
              <w:t xml:space="preserve">Emission Factor (kg CO2e/unit or kg.km)</w:t>
            </w:r>
          </w:p>
        </w:tc>
        <w:tc>
          <w:tcPr/>
          <w:p>
            <w:pPr>
              <w:pStyle w:val="Compact"/>
              <w:jc w:val="left"/>
            </w:pPr>
            <w:r>
              <w:t xml:space="preserve">Total CO2e (kg)</w:t>
            </w:r>
          </w:p>
        </w:tc>
      </w:tr>
      <w:tr>
        <w:tc>
          <w:tcPr/>
          <w:p>
            <w:pPr>
              <w:pStyle w:val="Compact"/>
              <w:jc w:val="left"/>
            </w:pPr>
            <w:r>
              <w:t xml:space="preserve">Upstream (Materials)</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0.001 (1.0 kg)</w:t>
            </w:r>
          </w:p>
        </w:tc>
        <w:tc>
          <w:tcPr/>
          <w:p>
            <w:pPr>
              <w:pStyle w:val="Compact"/>
              <w:jc w:val="left"/>
            </w:pPr>
            <w:r>
              <w:t xml:space="preserve">0.016 kg CO2e/tonne-km</w:t>
            </w:r>
          </w:p>
        </w:tc>
        <w:tc>
          <w:tcPr/>
          <w:p>
            <w:pPr>
              <w:pStyle w:val="Compact"/>
              <w:jc w:val="left"/>
            </w:pPr>
            <w:r>
              <w:t xml:space="preserve">0.160</w:t>
            </w:r>
          </w:p>
        </w:tc>
      </w:tr>
      <w:tr>
        <w:tc>
          <w:tcPr/>
          <w:p>
            <w:pPr>
              <w:pStyle w:val="Compact"/>
              <w:jc w:val="left"/>
            </w:pPr>
            <w:r>
              <w:t xml:space="preserve">Downstream (Product to DC)</w:t>
            </w:r>
          </w:p>
        </w:tc>
        <w:tc>
          <w:tcPr/>
          <w:p>
            <w:pPr>
              <w:pStyle w:val="Compact"/>
              <w:jc w:val="left"/>
            </w:pPr>
            <w:r>
              <w:t xml:space="preserve">Road Freight</w:t>
            </w:r>
          </w:p>
        </w:tc>
        <w:tc>
          <w:tcPr/>
          <w:p>
            <w:pPr>
              <w:pStyle w:val="Compact"/>
              <w:jc w:val="left"/>
            </w:pPr>
            <w:r>
              <w:t xml:space="preserve">5,000</w:t>
            </w:r>
          </w:p>
        </w:tc>
        <w:tc>
          <w:tcPr/>
          <w:p>
            <w:pPr>
              <w:pStyle w:val="Compact"/>
              <w:jc w:val="left"/>
            </w:pPr>
            <w:r>
              <w:t xml:space="preserve">0.001 (1.0 kg)</w:t>
            </w:r>
          </w:p>
        </w:tc>
        <w:tc>
          <w:tcPr/>
          <w:p>
            <w:pPr>
              <w:pStyle w:val="Compact"/>
              <w:jc w:val="left"/>
            </w:pPr>
            <w:r>
              <w:t xml:space="preserve">0.092 kg CO2e/tonne-km</w:t>
            </w:r>
          </w:p>
        </w:tc>
        <w:tc>
          <w:tcPr/>
          <w:p>
            <w:pPr>
              <w:pStyle w:val="Compact"/>
              <w:jc w:val="left"/>
            </w:pPr>
            <w:r>
              <w:t xml:space="preserve">0.460</w:t>
            </w:r>
          </w:p>
        </w:tc>
      </w:tr>
      <w:tr>
        <w:tc>
          <w:tcPr/>
          <w:p>
            <w:pPr>
              <w:pStyle w:val="Compact"/>
              <w:jc w:val="left"/>
            </w:pPr>
            <w:r>
              <w:t xml:space="preserve">Last-Mile (DC to Customer)</w:t>
            </w:r>
          </w:p>
        </w:tc>
        <w:tc>
          <w:tcPr/>
          <w:p>
            <w:pPr>
              <w:pStyle w:val="Compact"/>
              <w:jc w:val="left"/>
            </w:pPr>
            <w:r>
              <w:t xml:space="preserve">Van</w:t>
            </w:r>
          </w:p>
        </w:tc>
        <w:tc>
          <w:tcPr/>
          <w:p>
            <w:pPr>
              <w:pStyle w:val="Compact"/>
              <w:jc w:val="left"/>
            </w:pPr>
            <w:r>
              <w:t xml:space="preserve">100</w:t>
            </w:r>
          </w:p>
        </w:tc>
        <w:tc>
          <w:tcPr/>
          <w:p>
            <w:pPr>
              <w:pStyle w:val="Compact"/>
              <w:jc w:val="left"/>
            </w:pPr>
            <w:r>
              <w:t xml:space="preserve">1.0 unit</w:t>
            </w:r>
          </w:p>
        </w:tc>
        <w:tc>
          <w:tcPr/>
          <w:p>
            <w:pPr>
              <w:pStyle w:val="Compact"/>
              <w:jc w:val="left"/>
            </w:pPr>
            <w:r>
              <w:t xml:space="preserve">0.24934 kg CO2e/km</w:t>
            </w:r>
          </w:p>
        </w:tc>
        <w:tc>
          <w:tcPr/>
          <w:p>
            <w:pPr>
              <w:pStyle w:val="Compact"/>
              <w:jc w:val="left"/>
            </w:pPr>
            <w:r>
              <w:t xml:space="preserve">0.24934</w:t>
            </w:r>
          </w:p>
        </w:tc>
      </w:tr>
      <w:tr>
        <w:tc>
          <w:tcPr/>
          <w:p>
            <w:pPr>
              <w:pStyle w:val="Compact"/>
              <w:jc w:val="left"/>
            </w:pPr>
            <w:r>
              <w:rPr>
                <w:bCs/>
                <w:b/>
              </w:rPr>
              <w:t xml:space="preserve">Sub-Total (Categories 4 &amp; 9)</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0.86934</w:t>
            </w:r>
          </w:p>
        </w:tc>
      </w:tr>
    </w:tbl>
    <w:bookmarkEnd w:id="41"/>
    <w:bookmarkStart w:id="42" w:name="category-11-use-of-sold-products"/>
    <w:p>
      <w:pPr>
        <w:pStyle w:val="Heading4"/>
      </w:pPr>
      <w:r>
        <w:t xml:space="preserve">4.3.3. Category 11: Use of Sold Products</w:t>
      </w:r>
    </w:p>
    <w:p>
      <w:pPr>
        <w:pStyle w:val="FirstParagraph"/>
      </w:pPr>
      <w:r>
        <w:t xml:space="preserve">Emissions generated during the estimated lifespan of kvdvxyuryh.</w:t>
      </w:r>
    </w:p>
    <w:p>
      <w:pPr>
        <w:pStyle w:val="BodyText"/>
      </w:pPr>
      <w:r>
        <w:rPr>
          <w:bCs/>
          <w:b/>
        </w:rPr>
        <w:t xml:space="preserve">Parameters:</w:t>
      </w:r>
    </w:p>
    <w:p>
      <w:pPr>
        <w:numPr>
          <w:ilvl w:val="0"/>
          <w:numId w:val="1012"/>
        </w:numPr>
        <w:pStyle w:val="Compact"/>
      </w:pPr>
      <w:r>
        <w:t xml:space="preserve">Product Lifespan: ungxegzink (e.g., 5 years)</w:t>
      </w:r>
    </w:p>
    <w:p>
      <w:pPr>
        <w:numPr>
          <w:ilvl w:val="0"/>
          <w:numId w:val="1012"/>
        </w:numPr>
        <w:pStyle w:val="Compact"/>
      </w:pPr>
      <w:r>
        <w:t xml:space="preserve">Energy Consumption in Use: gzjkgredvi (e.g., 10 kWh/year)</w:t>
      </w:r>
    </w:p>
    <w:p>
      <w:pPr>
        <w:numPr>
          <w:ilvl w:val="0"/>
          <w:numId w:val="1012"/>
        </w:numPr>
        <w:pStyle w:val="Compact"/>
      </w:pPr>
      <w:r>
        <w:t xml:space="preserve">Assumed European Electricity Grid Emission Factor: 0.25 kg CO2e/kWh (example for Europe focus)</w:t>
      </w:r>
    </w:p>
    <w:p>
      <w:pPr>
        <w:pStyle w:val="FirstParagraph"/>
      </w:pPr>
      <w:r>
        <w:rPr>
          <w:bCs/>
          <w:b/>
        </w:rPr>
        <w:t xml:space="preserve">Calculation:</w:t>
      </w:r>
    </w:p>
    <w:p>
      <w:pPr>
        <w:pStyle w:val="BodyText"/>
      </w:pPr>
      <w:r>
        <w:t xml:space="preserve">Use Phase Emissions = Product Lifespan × Energy Consumption in Use × European Grid Emission Factor</w:t>
      </w:r>
    </w:p>
    <w:p>
      <w:pPr>
        <w:pStyle w:val="BodyText"/>
      </w:pPr>
      <w:r>
        <w:t xml:space="preserve">= 5 years × 10 kWh/year × 0.25 kg CO2e/kWh = 12.5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c>
          <w:tcPr/>
          <w:p>
            <w:pPr>
              <w:pStyle w:val="Compact"/>
            </w:pPr>
          </w:p>
        </w:tc>
      </w:tr>
      <w:tr>
        <w:tc>
          <w:tcPr/>
          <w:p>
            <w:pPr>
              <w:pStyle w:val="Compact"/>
              <w:jc w:val="left"/>
            </w:pPr>
            <w:r>
              <w:t xml:space="preserve">Energy Consumption in Use Phase</w:t>
            </w:r>
          </w:p>
        </w:tc>
        <w:tc>
          <w:tcPr/>
          <w:p>
            <w:pPr>
              <w:pStyle w:val="Compact"/>
              <w:jc w:val="left"/>
            </w:pPr>
            <w:r>
              <w:t xml:space="preserve">50 kWh (over 5 years)</w:t>
            </w:r>
          </w:p>
        </w:tc>
        <w:tc>
          <w:tcPr/>
          <w:p>
            <w:pPr>
              <w:pStyle w:val="Compact"/>
              <w:jc w:val="left"/>
            </w:pPr>
            <w:r>
              <w:t xml:space="preserve">0.25</w:t>
            </w:r>
          </w:p>
        </w:tc>
        <w:tc>
          <w:tcPr/>
          <w:p>
            <w:pPr>
              <w:pStyle w:val="Compact"/>
              <w:jc w:val="left"/>
            </w:pPr>
            <w:r>
              <w:t xml:space="preserve">12.500</w:t>
            </w:r>
          </w:p>
        </w:tc>
        <w:tc>
          <w:tcPr/>
          <w:p>
            <w:pPr>
              <w:pStyle w:val="Compact"/>
            </w:pPr>
          </w:p>
        </w:tc>
      </w:tr>
      <w:tr>
        <w:tc>
          <w:tcPr/>
          <w:p>
            <w:pPr>
              <w:pStyle w:val="Compact"/>
              <w:jc w:val="left"/>
            </w:pPr>
            <w:r>
              <w:rPr>
                <w:bCs/>
                <w:b/>
              </w:rPr>
              <w:t xml:space="preserve">Sub-Total (Category 11)</w:t>
            </w:r>
          </w:p>
        </w:tc>
        <w:tc>
          <w:tcPr/>
          <w:p>
            <w:pPr>
              <w:pStyle w:val="Compact"/>
            </w:pPr>
          </w:p>
        </w:tc>
        <w:tc>
          <w:tcPr/>
          <w:p>
            <w:pPr>
              <w:pStyle w:val="Compact"/>
            </w:pPr>
          </w:p>
        </w:tc>
        <w:tc>
          <w:tcPr/>
          <w:p>
            <w:pPr>
              <w:pStyle w:val="Compact"/>
            </w:pPr>
          </w:p>
        </w:tc>
        <w:tc>
          <w:tcPr/>
          <w:p>
            <w:pPr>
              <w:pStyle w:val="Compact"/>
              <w:jc w:val="left"/>
            </w:pPr>
            <w:r>
              <w:rPr>
                <w:bCs/>
                <w:b/>
              </w:rPr>
              <w:t xml:space="preserve">12.500</w:t>
            </w:r>
          </w:p>
        </w:tc>
      </w:tr>
    </w:tbl>
    <w:bookmarkEnd w:id="42"/>
    <w:bookmarkStart w:id="43" w:name="X9f66eef2700632e081dfe139021cb724ffcd2c5"/>
    <w:p>
      <w:pPr>
        <w:pStyle w:val="Heading4"/>
      </w:pPr>
      <w:r>
        <w:t xml:space="preserve">4.3.4. Category 12: End-of-Life Treatment of Sold Products</w:t>
      </w:r>
    </w:p>
    <w:p>
      <w:pPr>
        <w:pStyle w:val="FirstParagraph"/>
      </w:pPr>
      <w:r>
        <w:t xml:space="preserve">Emissions or savings related to the disposal and recycling of kvdvxyuryh.</w:t>
      </w:r>
    </w:p>
    <w:p>
      <w:pPr>
        <w:pStyle w:val="BodyText"/>
      </w:pPr>
      <w:r>
        <w:rPr>
          <w:bCs/>
          <w:b/>
        </w:rPr>
        <w:t xml:space="preserve">Parameters:</w:t>
      </w:r>
    </w:p>
    <w:p>
      <w:pPr>
        <w:numPr>
          <w:ilvl w:val="0"/>
          <w:numId w:val="1013"/>
        </w:numPr>
        <w:pStyle w:val="Compact"/>
      </w:pPr>
      <w:r>
        <w:t xml:space="preserve">Recyclability Percentage: jhzjvylhod (e.g., 80%)</w:t>
      </w:r>
    </w:p>
    <w:p>
      <w:pPr>
        <w:numPr>
          <w:ilvl w:val="0"/>
          <w:numId w:val="1013"/>
        </w:numPr>
        <w:pStyle w:val="Compact"/>
      </w:pPr>
      <w:r>
        <w:t xml:space="preserve">Circular/Take-back Programs: ehuvioffvm (e.g., Yes, active program)</w:t>
      </w:r>
    </w:p>
    <w:p>
      <w:pPr>
        <w:numPr>
          <w:ilvl w:val="0"/>
          <w:numId w:val="1013"/>
        </w:numPr>
        <w:pStyle w:val="Compact"/>
      </w:pPr>
      <w:r>
        <w:t xml:space="preserve">Material Weight for Recycling (from BOM): ~1.0 kg (total materials in product)</w:t>
      </w:r>
    </w:p>
    <w:p>
      <w:pPr>
        <w:numPr>
          <w:ilvl w:val="0"/>
          <w:numId w:val="1013"/>
        </w:numPr>
        <w:pStyle w:val="Compact"/>
      </w:pPr>
      <w:r>
        <w:t xml:space="preserve">Average virgin material emission factor for recycled content: 7.525 kg CO2e (from Category 1, assuming this represents virgin material impact)</w:t>
      </w:r>
    </w:p>
    <w:p>
      <w:pPr>
        <w:numPr>
          <w:ilvl w:val="0"/>
          <w:numId w:val="1013"/>
        </w:numPr>
        <w:pStyle w:val="Compact"/>
      </w:pPr>
      <w:r>
        <w:t xml:space="preserve">Recycling process emission factor (example): 0.5 kg CO2e/kg (for collection and processing)</w:t>
      </w:r>
    </w:p>
    <w:p>
      <w:pPr>
        <w:numPr>
          <w:ilvl w:val="0"/>
          <w:numId w:val="1013"/>
        </w:numPr>
        <w:pStyle w:val="Compact"/>
      </w:pPr>
      <w:r>
        <w:t xml:space="preserve">Avoided emissions from recycling: Assume 90% of virgin material emissions are avoided for the recycled portion.</w:t>
      </w:r>
    </w:p>
    <w:p>
      <w:pPr>
        <w:pStyle w:val="FirstParagraph"/>
      </w:pPr>
      <w:r>
        <w:rPr>
          <w:bCs/>
          <w:b/>
        </w:rPr>
        <w:t xml:space="preserve">Calculation:</w:t>
      </w:r>
    </w:p>
    <w:p>
      <w:pPr>
        <w:pStyle w:val="BodyText"/>
      </w:pPr>
      <w:r>
        <w:t xml:space="preserve">Recycled Material Weight = Material Weight × Recyclability Percentage</w:t>
      </w:r>
    </w:p>
    <w:p>
      <w:pPr>
        <w:pStyle w:val="BodyText"/>
      </w:pPr>
      <w:r>
        <w:t xml:space="preserve">= 1.0 kg × 0.80 = 0.8 kg</w:t>
      </w:r>
    </w:p>
    <w:p>
      <w:pPr>
        <w:pStyle w:val="BodyText"/>
      </w:pPr>
      <w:r>
        <w:t xml:space="preserve">Emissions from Recycling Process = Recycled Material Weight × Recycling Process EF</w:t>
      </w:r>
    </w:p>
    <w:p>
      <w:pPr>
        <w:pStyle w:val="BodyText"/>
      </w:pPr>
      <w:r>
        <w:t xml:space="preserve">= 0.8 kg × 0.5 kg CO2e/kg = 0.4 kg CO2e</w:t>
      </w:r>
    </w:p>
    <w:p>
      <w:pPr>
        <w:pStyle w:val="BodyText"/>
      </w:pPr>
      <w:r>
        <w:t xml:space="preserve">Avoided Emissions from Recycling = (Virgin Material Emissions / Total Material Weight) × Recycled Material Weight × Avoidance Factor</w:t>
      </w:r>
    </w:p>
    <w:p>
      <w:pPr>
        <w:pStyle w:val="BodyText"/>
      </w:pPr>
      <w:r>
        <w:t xml:space="preserve">= (7.525 kg CO2e / 1.0 kg) * 0.8 kg * 0.90 = 5.418 kg CO2e (as a credit)</w:t>
      </w:r>
    </w:p>
    <w:p>
      <w:pPr>
        <w:pStyle w:val="BodyText"/>
      </w:pPr>
      <w:r>
        <w:t xml:space="preserve">Landfilled Material Weight = Material Weight × (1 - Recyclability Percentage)</w:t>
      </w:r>
    </w:p>
    <w:p>
      <w:pPr>
        <w:pStyle w:val="BodyText"/>
      </w:pPr>
      <w:r>
        <w:t xml:space="preserve">= 1.0 kg × 0.20 = 0.2 kg</w:t>
      </w:r>
    </w:p>
    <w:p>
      <w:pPr>
        <w:pStyle w:val="BodyText"/>
      </w:pPr>
      <w:r>
        <w:t xml:space="preserve">Emissions from Landfilling (example): Assume 1.0 kg CO2e/kg for non-recycled waste</w:t>
      </w:r>
    </w:p>
    <w:p>
      <w:pPr>
        <w:pStyle w:val="BodyText"/>
      </w:pPr>
      <w:r>
        <w:t xml:space="preserve">= 0.2 kg × 1.0 kg CO2e/kg = 0.2 kg CO2e</w:t>
      </w:r>
    </w:p>
    <w:p>
      <w:pPr>
        <w:pStyle w:val="BodyText"/>
      </w:pPr>
      <w:r>
        <w:t xml:space="preserve">Net End-of-Life Emissions = Emissions from Recycling Process + Emissions from Landfilling - Avoided Emissions from Recycling</w:t>
      </w:r>
    </w:p>
    <w:p>
      <w:pPr>
        <w:pStyle w:val="BodyText"/>
      </w:pPr>
      <w:r>
        <w:t xml:space="preserve">= 0.4 kg CO2e + 0.2 kg CO2e - 5.418 kg CO2e = -4.818 kg CO2e (a net saving due to high recyclability and take-back program)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Activity Data</w:t>
            </w:r>
          </w:p>
        </w:tc>
        <w:tc>
          <w:tcPr/>
          <w:p>
            <w:pPr>
              <w:pStyle w:val="Compact"/>
              <w:jc w:val="left"/>
            </w:pPr>
            <w:r>
              <w:t xml:space="preserve">Emission Factor / Avoidance Factor</w:t>
            </w:r>
          </w:p>
        </w:tc>
        <w:tc>
          <w:tcPr/>
          <w:p>
            <w:pPr>
              <w:pStyle w:val="Compact"/>
              <w:jc w:val="left"/>
            </w:pPr>
            <w:r>
              <w:t xml:space="preserve">Total CO2e (kg)</w:t>
            </w:r>
          </w:p>
        </w:tc>
        <w:tc>
          <w:tcPr/>
          <w:p>
            <w:pPr>
              <w:pStyle w:val="Compact"/>
            </w:pPr>
          </w:p>
        </w:tc>
      </w:tr>
      <w:tr>
        <w:tc>
          <w:tcPr/>
          <w:p>
            <w:pPr>
              <w:pStyle w:val="Compact"/>
              <w:jc w:val="left"/>
            </w:pPr>
            <w:r>
              <w:t xml:space="preserve">Recycling Process Emissions</w:t>
            </w:r>
          </w:p>
        </w:tc>
        <w:tc>
          <w:tcPr/>
          <w:p>
            <w:pPr>
              <w:pStyle w:val="Compact"/>
              <w:jc w:val="left"/>
            </w:pPr>
            <w:r>
              <w:t xml:space="preserve">0.8 kg (recycled)</w:t>
            </w:r>
          </w:p>
        </w:tc>
        <w:tc>
          <w:tcPr/>
          <w:p>
            <w:pPr>
              <w:pStyle w:val="Compact"/>
              <w:jc w:val="left"/>
            </w:pPr>
            <w:r>
              <w:t xml:space="preserve">0.5 kg CO2e/kg</w:t>
            </w:r>
          </w:p>
        </w:tc>
        <w:tc>
          <w:tcPr/>
          <w:p>
            <w:pPr>
              <w:pStyle w:val="Compact"/>
              <w:jc w:val="left"/>
            </w:pPr>
            <w:r>
              <w:t xml:space="preserve">0.400</w:t>
            </w:r>
          </w:p>
        </w:tc>
        <w:tc>
          <w:tcPr/>
          <w:p>
            <w:pPr>
              <w:pStyle w:val="Compact"/>
            </w:pPr>
          </w:p>
        </w:tc>
      </w:tr>
      <w:tr>
        <w:tc>
          <w:tcPr/>
          <w:p>
            <w:pPr>
              <w:pStyle w:val="Compact"/>
              <w:jc w:val="left"/>
            </w:pPr>
            <w:r>
              <w:t xml:space="preserve">Landfill Emissions (Non-Recycled)</w:t>
            </w:r>
          </w:p>
        </w:tc>
        <w:tc>
          <w:tcPr/>
          <w:p>
            <w:pPr>
              <w:pStyle w:val="Compact"/>
              <w:jc w:val="left"/>
            </w:pPr>
            <w:r>
              <w:t xml:space="preserve">0.2 kg (landfilled)</w:t>
            </w:r>
          </w:p>
        </w:tc>
        <w:tc>
          <w:tcPr/>
          <w:p>
            <w:pPr>
              <w:pStyle w:val="Compact"/>
              <w:jc w:val="left"/>
            </w:pPr>
            <w:r>
              <w:t xml:space="preserve">1.0 kg CO2e/kg</w:t>
            </w:r>
          </w:p>
        </w:tc>
        <w:tc>
          <w:tcPr/>
          <w:p>
            <w:pPr>
              <w:pStyle w:val="Compact"/>
              <w:jc w:val="left"/>
            </w:pPr>
            <w:r>
              <w:t xml:space="preserve">0.200</w:t>
            </w:r>
          </w:p>
        </w:tc>
        <w:tc>
          <w:tcPr/>
          <w:p>
            <w:pPr>
              <w:pStyle w:val="Compact"/>
            </w:pPr>
          </w:p>
        </w:tc>
      </w:tr>
      <w:tr>
        <w:tc>
          <w:tcPr/>
          <w:p>
            <w:pPr>
              <w:pStyle w:val="Compact"/>
              <w:jc w:val="left"/>
            </w:pPr>
            <w:r>
              <w:t xml:space="preserve">Avoided Virgin Material Emissions (Credit)</w:t>
            </w:r>
          </w:p>
        </w:tc>
        <w:tc>
          <w:tcPr/>
          <w:p>
            <w:pPr>
              <w:pStyle w:val="Compact"/>
              <w:jc w:val="left"/>
            </w:pPr>
            <w:r>
              <w:t xml:space="preserve">0.8 kg (recycled)</w:t>
            </w:r>
          </w:p>
        </w:tc>
        <w:tc>
          <w:tcPr/>
          <w:p>
            <w:pPr>
              <w:pStyle w:val="Compact"/>
              <w:jc w:val="left"/>
            </w:pPr>
            <w:r>
              <w:t xml:space="preserve">7.525 kg CO2e/kg virgin material * 0.9 avoidance</w:t>
            </w:r>
          </w:p>
        </w:tc>
        <w:tc>
          <w:tcPr/>
          <w:p>
            <w:pPr>
              <w:pStyle w:val="Compact"/>
              <w:jc w:val="left"/>
            </w:pPr>
            <w:r>
              <w:t xml:space="preserve">-5.418</w:t>
            </w:r>
          </w:p>
        </w:tc>
        <w:tc>
          <w:tcPr/>
          <w:p>
            <w:pPr>
              <w:pStyle w:val="Compact"/>
            </w:pPr>
          </w:p>
        </w:tc>
      </w:tr>
      <w:tr>
        <w:tc>
          <w:tcPr/>
          <w:p>
            <w:pPr>
              <w:pStyle w:val="Compact"/>
              <w:jc w:val="left"/>
            </w:pPr>
            <w:r>
              <w:rPr>
                <w:bCs/>
                <w:b/>
              </w:rPr>
              <w:t xml:space="preserve">Sub-Total (Category 12)</w:t>
            </w:r>
          </w:p>
        </w:tc>
        <w:tc>
          <w:tcPr/>
          <w:p>
            <w:pPr>
              <w:pStyle w:val="Compact"/>
            </w:pPr>
          </w:p>
        </w:tc>
        <w:tc>
          <w:tcPr/>
          <w:p>
            <w:pPr>
              <w:pStyle w:val="Compact"/>
            </w:pPr>
          </w:p>
        </w:tc>
        <w:tc>
          <w:tcPr/>
          <w:p>
            <w:pPr>
              <w:pStyle w:val="Compact"/>
            </w:pPr>
          </w:p>
        </w:tc>
        <w:tc>
          <w:tcPr/>
          <w:p>
            <w:pPr>
              <w:pStyle w:val="Compact"/>
              <w:jc w:val="left"/>
            </w:pPr>
            <w:r>
              <w:rPr>
                <w:bCs/>
                <w:b/>
              </w:rPr>
              <w:t xml:space="preserve">-4.818</w:t>
            </w:r>
          </w:p>
        </w:tc>
      </w:tr>
    </w:tbl>
    <w:bookmarkEnd w:id="43"/>
    <w:bookmarkEnd w:id="44"/>
    <w:bookmarkStart w:id="45" w:name="total-product-carbon-footprint-summary"/>
    <w:p>
      <w:pPr>
        <w:pStyle w:val="Heading3"/>
      </w:pPr>
      <w:r>
        <w:t xml:space="preserve">4.4. Total Product Carbon Footprint Summary</w:t>
      </w:r>
    </w:p>
    <w:p>
      <w:pPr>
        <w:pStyle w:val="FirstParagraph"/>
      </w:pPr>
      <w:r>
        <w:t xml:space="preserve">Aggregated emissions for one functional unit of kvdvxyuryh: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in manufacturing</w:t>
            </w:r>
          </w:p>
        </w:tc>
        <w:tc>
          <w:tcPr/>
          <w:p>
            <w:pPr>
              <w:pStyle w:val="Compact"/>
              <w:jc w:val="left"/>
            </w:pPr>
            <w:r>
              <w:t xml:space="preserve">0.835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7.525</w:t>
            </w:r>
          </w:p>
        </w:tc>
      </w:tr>
      <w:tr>
        <w:tc>
          <w:tcPr>
            <w:gridSpan w:val="1"/>
            <w:vMerge w:val="continue"/>
          </w:tcPr>
          <w:p>
            <w:pPr/>
          </w:p>
        </w:tc>
        <w:tc>
          <w:tcPr/>
          <w:p>
            <w:pPr>
              <w:pStyle w:val="Compact"/>
              <w:jc w:val="left"/>
            </w:pPr>
            <w:r>
              <w:t xml:space="preserve">Categories 4 &amp; 9</w:t>
            </w:r>
          </w:p>
        </w:tc>
        <w:tc>
          <w:tcPr/>
          <w:p>
            <w:pPr>
              <w:pStyle w:val="Compact"/>
              <w:jc w:val="left"/>
            </w:pPr>
            <w:r>
              <w:t xml:space="preserve">Transportation &amp; Distribution (Up/Downstream)</w:t>
            </w:r>
          </w:p>
        </w:tc>
        <w:tc>
          <w:tcPr/>
          <w:p>
            <w:pPr>
              <w:pStyle w:val="Compact"/>
              <w:jc w:val="left"/>
            </w:pPr>
            <w:r>
              <w:t xml:space="preserve">0.869</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-4.818</w:t>
            </w:r>
          </w:p>
        </w:tc>
      </w:tr>
      <w:tr>
        <w:tc>
          <w:tcPr>
            <w:gridSpan w:val="3"/>
          </w:tcPr>
          <w:p>
            <w:pPr>
              <w:pStyle w:val="Compact"/>
              <w:jc w:val="left"/>
            </w:pPr>
            <w:r>
              <w:rPr>
                <w:bCs/>
                <w:b/>
              </w:rPr>
              <w:t xml:space="preserve">Total Product Carbon Footprint (kg CO2e/unit)</w:t>
            </w:r>
          </w:p>
        </w:tc>
        <w:tc>
          <w:tcPr/>
          <w:p>
            <w:pPr>
              <w:pStyle w:val="Compact"/>
              <w:jc w:val="left"/>
            </w:pPr>
            <w:r>
              <w:rPr>
                <w:bCs/>
                <w:b/>
              </w:rPr>
              <w:t xml:space="preserve">16.911</w:t>
            </w:r>
          </w:p>
        </w:tc>
      </w:tr>
    </w:tbl>
    <w:p>
      <w:pPr>
        <w:pStyle w:val="BodyText"/>
      </w:pPr>
      <w:r>
        <w:t xml:space="preserve">The total Product Carbon Footprint for one unit of kvdvxyuryh is approximately</w:t>
      </w:r>
      <w:r>
        <w:t xml:space="preserve"> </w:t>
      </w:r>
      <w:r>
        <w:rPr>
          <w:bCs/>
          <w:b/>
        </w:rPr>
        <w:t xml:space="preserve">16.911 kg CO2e</w:t>
      </w:r>
      <w:r>
        <w:t xml:space="preserve">. The negative value in Category 12 (End-of-Life) indicates a net carbon saving due to the high recyclability and effective circular economy programs.</w:t>
      </w:r>
    </w:p>
    <w:bookmarkEnd w:id="45"/>
    <w:bookmarkEnd w:id="46"/>
    <w:p>
      <w:r>
        <w:pict>
          <v:rect style="width:0;height:1.5pt" o:hralign="center" o:hrstd="t" o:hr="t"/>
        </w:pict>
      </w:r>
    </w:p>
    <w:bookmarkStart w:id="51" w:name="review-reporting"/>
    <w:p>
      <w:pPr>
        <w:pStyle w:val="Heading2"/>
      </w:pPr>
      <w:r>
        <w:t xml:space="preserve">5. Review &amp; Reporting</w:t>
      </w:r>
    </w:p>
    <w:bookmarkStart w:id="47" w:name="hotspots-analysis"/>
    <w:p>
      <w:pPr>
        <w:pStyle w:val="Heading3"/>
      </w:pPr>
      <w:r>
        <w:t xml:space="preserve">5.1. Hotspots Analysis</w:t>
      </w:r>
    </w:p>
    <w:p>
      <w:pPr>
        <w:pStyle w:val="FirstParagraph"/>
      </w:pPr>
      <w:r>
        <w:t xml:space="preserve">Based on the calculations, the primary emissions hotspots for kvdvxyuryh are:</w:t>
      </w:r>
    </w:p>
    <w:p>
      <w:pPr>
        <w:numPr>
          <w:ilvl w:val="0"/>
          <w:numId w:val="1014"/>
        </w:numPr>
        <w:pStyle w:val="Compact"/>
      </w:pPr>
      <w:r>
        <w:rPr>
          <w:bCs/>
          <w:b/>
        </w:rPr>
        <w:t xml:space="preserve">Use Phase (Category 11):</w:t>
      </w:r>
      <w:r>
        <w:t xml:space="preserve"> </w:t>
      </w:r>
      <w:r>
        <w:t xml:space="preserve">This category represents the largest positive contribution to the PCF, accounting for approximately 12.500 kg CO2e, primarily due to energy consumption over the product\'s lifespan. This highlights the importance of optimizing product energy efficiency.</w:t>
      </w:r>
    </w:p>
    <w:p>
      <w:pPr>
        <w:numPr>
          <w:ilvl w:val="0"/>
          <w:numId w:val="1014"/>
        </w:numPr>
        <w:pStyle w:val="Compact"/>
      </w:pPr>
      <w:r>
        <w:rPr>
          <w:bCs/>
          <w:b/>
        </w:rPr>
        <w:t xml:space="preserve">Purchased Goods and Services (Category 1):</w:t>
      </w:r>
      <w:r>
        <w:t xml:space="preserve"> </w:t>
      </w:r>
      <w:r>
        <w:t xml:space="preserve">Material extraction and production contribute significantly, with 7.525 kg CO2e. The Aluminium Casing (5.0 kg CO2e) is a major contributor within this category.</w:t>
      </w:r>
    </w:p>
    <w:p>
      <w:pPr>
        <w:numPr>
          <w:ilvl w:val="0"/>
          <w:numId w:val="1014"/>
        </w:numPr>
        <w:pStyle w:val="Compact"/>
      </w:pPr>
      <w:r>
        <w:rPr>
          <w:bCs/>
          <w:b/>
        </w:rPr>
        <w:t xml:space="preserve">End-of-Life (Category 12):</w:t>
      </w:r>
      <w:r>
        <w:t xml:space="preserve"> </w:t>
      </w:r>
      <w:r>
        <w:t xml:space="preserve">While this phase shows a net saving of -4.818 kg CO2e, it is crucial to recognize that this is due to the high recyclability and effective circular programs. Without these, the end-of-life impact would be positive and contribute significantly to the footprint.</w:t>
      </w:r>
    </w:p>
    <w:bookmarkEnd w:id="47"/>
    <w:bookmarkStart w:id="48" w:name="reliability-and-data-quality"/>
    <w:p>
      <w:pPr>
        <w:pStyle w:val="Heading3"/>
      </w:pPr>
      <w:r>
        <w:t xml:space="preserve">5.2. Reliability and Data Quality</w:t>
      </w:r>
    </w:p>
    <w:p>
      <w:pPr>
        <w:pStyle w:val="FirstParagraph"/>
      </w:pPr>
      <w:r>
        <w:t xml:space="preserve">The reliability of this report is high for material impacts due to the provision of detailed BOM data with specific \'Total Carbon\' values. For other lifecycle stages, industry-standard emission factors from reputable sources (e.g., MEE for China grid, GLEC/DEFRA for transport) have been applied.</w:t>
      </w:r>
    </w:p>
    <w:p>
      <w:pPr>
        <w:pStyle w:val="BodyText"/>
      </w:pPr>
      <w:r>
        <w:t xml:space="preserve">The use of assumed values for certain parameters (e.g., specific transport modes and distances based on generic interpretation of "Select Mode" and "vkviluynsl", and European grid mix for use phase) introduces some uncertainty. To further enhance reliability, primary data for these aspects should be collected wherever possible. The 2026 GHG Protocol Scope 3 revisions emphasize data quality and disaggregation, moving towards more specific and auditable data.</w:t>
      </w:r>
    </w:p>
    <w:bookmarkEnd w:id="48"/>
    <w:bookmarkStart w:id="49" w:name="lsr-standard-application"/>
    <w:p>
      <w:pPr>
        <w:pStyle w:val="Heading3"/>
      </w:pPr>
      <w:r>
        <w:t xml:space="preserve">5.3. 2026 LSR Standard Application</w:t>
      </w:r>
    </w:p>
    <w:p>
      <w:pPr>
        <w:pStyle w:val="FirstParagraph"/>
      </w:pPr>
      <w:r>
        <w:t xml:space="preserve">As kvdvxyuryh is an industrial product, its direct land use impact is minimal. However, the LSR Standard is acknowledged in considering the upstream supply chain. For example, if any raw materials in the BOM were bio-based or sourced from industries with significant land-use change impacts (e.g., agriculture, forestry), their associated emissions and removals would be quantified under Scope 3, following the LSR Standard\'s guidelines for land management and biogenic products. The accompanying LSR Guidance, expected in Q2 2026, will provide more practical direction for implementation.</w:t>
      </w:r>
    </w:p>
    <w:bookmarkEnd w:id="49"/>
    <w:bookmarkStart w:id="50" w:name="scope-3-95-coverage-compliance"/>
    <w:p>
      <w:pPr>
        <w:pStyle w:val="Heading3"/>
      </w:pPr>
      <w:r>
        <w:t xml:space="preserve">5.4. Scope 3 95% Coverage Compliance</w:t>
      </w:r>
    </w:p>
    <w:p>
      <w:pPr>
        <w:pStyle w:val="FirstParagraph"/>
      </w:pPr>
      <w:r>
        <w:t xml:space="preserve">This report has diligently attempted to cover all relevant Scope 3 categories, including Purchased Goods &amp; Services (materials), Transportation &amp; Distribution (upstream and downstream), Use of Sold Products, and End-of-Life Treatment of Sold Products. By leveraging detailed BOM data and making reasonable assumptions for other value chain activities, we aim to meet or exceed the 95% coverage requirement for Scope 3 emissions as mandated by the 2026 GHG Protocol revisions. The quantification of excluded minor sources, if any, would be documented separately to ensure full compliance.</w:t>
      </w:r>
    </w:p>
    <w:bookmarkEnd w:id="50"/>
    <w:bookmarkEnd w:id="51"/>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kvdvxyuryh</dc:title>
  <dc:creator/>
  <dc:description>Detailed Product Carbon Footprint (PCF) analysis for kvdvxyuryh by Senior Sustainability Consultant hxzvkypizf, adhering to GHG Protocol and 2026 LSR Update requirements.</dc:description>
  <dc:language>en</dc:language>
  <cp:keywords/>
  <dcterms:created xsi:type="dcterms:W3CDTF">2026-05-30T16:55:34Z</dcterms:created>
  <dcterms:modified xsi:type="dcterms:W3CDTF">2026-05-30T16:55:34Z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