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kuxrzzddnr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kuxrzzddnr</w:t>
      </w:r>
    </w:p>
    <w:p>
      <w:pPr>
        <w:pStyle w:val="BodyText"/>
      </w:pPr>
      <w:r>
        <w:t xml:space="preserve">Company: kkrpgmxhfk</w:t>
      </w:r>
    </w:p>
    <w:p>
      <w:pPr>
        <w:pStyle w:val="BodyText"/>
      </w:pPr>
      <w:r>
        <w:t xml:space="preserve">Accounting Standard: GHG Protocol</w:t>
      </w:r>
    </w:p>
    <w:p>
      <w:pPr>
        <w:pStyle w:val="BodyText"/>
      </w:pPr>
      <w:r>
        <w:t xml:space="preserve">Senior Sustainability Consultant: lduvzykznz</w:t>
      </w:r>
    </w:p>
    <w:p>
      <w:pPr>
        <w:pStyle w:val="BodyText"/>
      </w:pPr>
      <w:r>
        <w:t xml:space="preserve">This report is generated based on available data and industry standards. While every effort has been made to ensure accuracy, the results presented are illustrative and subject to the completeness and quality of input data and emission factors used.</w:t>
      </w:r>
    </w:p>
    <w:p>
      <w:pPr>
        <w:pStyle w:val="BodyText"/>
      </w:pPr>
      <w:r>
        <w:t xml:space="preserve">Generated Date: June 4, 2026</w:t>
      </w:r>
    </w:p>
    <w:bookmarkEnd w:id="20"/>
    <w:bookmarkStart w:id="21" w:name="Xa0e4c261e9506952e4925c1080cd5935198d3b1"/>
    <w:p>
      <w:pPr>
        <w:pStyle w:val="Heading1"/>
      </w:pPr>
      <w:r>
        <w:t xml:space="preserve">Product Carbon Footprint Analysis Report: kuxrzzddnr</w:t>
      </w:r>
    </w:p>
    <w:p>
      <w:pPr>
        <w:pStyle w:val="FirstParagraph"/>
      </w:pPr>
      <w:r>
        <w:t xml:space="preserve">Generated Date: 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kuxrzzddnr</w:t>
      </w:r>
      <w:r>
        <w:t xml:space="preserve"> </w:t>
      </w:r>
      <w:r>
        <w:t xml:space="preserve">manufactured by</w:t>
      </w:r>
      <w:r>
        <w:t xml:space="preserve"> </w:t>
      </w:r>
      <w:r>
        <w:rPr>
          <w:bCs/>
          <w:b/>
        </w:rPr>
        <w:t xml:space="preserve">kkrpgmxhfk</w:t>
      </w:r>
      <w:r>
        <w:t xml:space="preserve">. The analysis, conducted by Senior Sustainability Consultant</w:t>
      </w:r>
      <w:r>
        <w:t xml:space="preserve"> </w:t>
      </w:r>
      <w:r>
        <w:rPr>
          <w:bCs/>
          <w:b/>
        </w:rPr>
        <w:t xml:space="preserve">lduvzykznz</w:t>
      </w:r>
      <w:r>
        <w:t xml:space="preserve">, adheres strictly to the GHG Protocol Product Life Cycle Accounting and Reporting Standard. The primary objective is to quantify the greenhouse gas (GHG) emissions associated with the product\'s lifecycle, from raw material acquisition to end-of-life treatment, expressed in kilograms of carbon dioxide equivalent (kgCO2e) per functional unit. Key emission hotspots are identified, and emissions are categorized according to GHG Protocol Scope 1, 2, and 3 definitions, incorporating considerations for the 2026 Land Sector and Removals (LSR) Standard update. This analysis aims to provide actionable insights for emission reduction strategies across the product\'s value chain.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kuxrzzddnr is calculated following the five-step methodology recommended by the GHG Protocol Product Life Cycle Accounting and Reporting Standard.</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kuxrzzddnr</w:t>
      </w:r>
      <w:r>
        <w:t xml:space="preserve">.</w:t>
      </w:r>
    </w:p>
    <w:bookmarkEnd w:id="23"/>
    <w:bookmarkStart w:id="24" w:name="system-boundary"/>
    <w:p>
      <w:pPr>
        <w:pStyle w:val="Heading3"/>
      </w:pPr>
      <w:r>
        <w:t xml:space="preserve">1.2. System Boundary</w:t>
      </w:r>
    </w:p>
    <w:p>
      <w:pPr>
        <w:pStyle w:val="FirstParagraph"/>
      </w:pPr>
      <w:r>
        <w:t xml:space="preserve">The system boundary for this PCF is designated as</w:t>
      </w:r>
      <w:r>
        <w:t xml:space="preserve"> </w:t>
      </w:r>
      <w:r>
        <w:rPr>
          <w:bCs/>
          <w:b/>
        </w:rPr>
        <w:t xml:space="preserve">“factory_gate”</w:t>
      </w:r>
      <w:r>
        <w:t xml:space="preserve">, encompassing all processes from raw material extraction (cradle) through manufacturing, up to the point the finished product leaves the production facility in China. Upstream transportation of materials and components is included. While the core PCF is "cradle-to-gate", a supplementary analysis for the downstream \'Use Phase\' and \'End-of-Life\' has been performed as per the project requirements to provide a more holistic view of the product\'s environmental impact, acknowledging that these phases extend beyond the strict "factory_gate" boundary.</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materials and component sourcing to China)</w:t>
      </w:r>
    </w:p>
    <w:bookmarkEnd w:id="25"/>
    <w:bookmarkStart w:id="26" w:name="allocation"/>
    <w:p>
      <w:pPr>
        <w:pStyle w:val="Heading3"/>
      </w:pPr>
      <w:r>
        <w:t xml:space="preserve">1.4. Allocation</w:t>
      </w:r>
    </w:p>
    <w:p>
      <w:pPr>
        <w:pStyle w:val="FirstParagraph"/>
      </w:pPr>
      <w:r>
        <w:t xml:space="preserve">Emissions are allocated based on a mass-based approach where co-products are not explicitly identified. For multi-functional processes, environmental burdens are assigned proportionally to the product based on its mass contribution. If no co-products are involved, all emissions are directly attributed to the kuxrzzddnr product.</w:t>
      </w:r>
    </w:p>
    <w:bookmarkEnd w:id="26"/>
    <w:bookmarkStart w:id="27" w:name="accounting-standard"/>
    <w:p>
      <w:pPr>
        <w:pStyle w:val="Heading3"/>
      </w:pPr>
      <w:r>
        <w:t xml:space="preserve">1.5. Accounting Standard</w:t>
      </w:r>
    </w:p>
    <w:p>
      <w:pPr>
        <w:pStyle w:val="FirstParagraph"/>
      </w:pPr>
      <w:r>
        <w:t xml:space="preserve">This analysis adheres to the</w:t>
      </w:r>
      <w:r>
        <w:t xml:space="preserve"> </w:t>
      </w:r>
      <w:r>
        <w:rPr>
          <w:bCs/>
          <w:b/>
        </w:rPr>
        <w:t xml:space="preserve">GHG Protocol</w:t>
      </w:r>
      <w:r>
        <w:t xml:space="preserve">, specifically the Product Life Cycle Accounting and Reporting Standard. Emissions are categorized into Scope 1 (direct emissions from owned or controlled sources), Scope 2 (indirect emissions from purchased electricity), and Scope 3 (all other indirect emissions across the value chain, both upstream and downstream).</w:t>
      </w:r>
    </w:p>
    <w:p>
      <w:r>
        <w:pict>
          <v:rect style="width:0;height:1.5pt" o:hralign="center" o:hrstd="t" o:hr="t"/>
        </w:pict>
      </w:r>
    </w:p>
    <w:bookmarkEnd w:id="27"/>
    <w:bookmarkEnd w:id="28"/>
    <w:bookmarkStart w:id="35" w:name="X35745a8e252718d5a0d40cb3fbfce10aee0336d"/>
    <w:p>
      <w:pPr>
        <w:pStyle w:val="Heading2"/>
      </w:pPr>
      <w:r>
        <w:t xml:space="preserve">2. Lifecycle Mapping (LCI Inventory Stages) &amp; Data Collection</w:t>
      </w:r>
    </w:p>
    <w:p>
      <w:pPr>
        <w:pStyle w:val="FirstParagraph"/>
      </w:pPr>
      <w:r>
        <w:t xml:space="preserve">The lifecycle of kuxrzzddnr is mapped across several key stages to capture all relevant greenhouse gas emissions. Data collection involved leveraging primary data points where available (such as the Detailed Bill of Materials) and supplementing with high-quality secondary data from industry-standard databases like Ecoinvent and DEFRA for emission factors.</w:t>
      </w:r>
    </w:p>
    <w:bookmarkStart w:id="30" w:name="X015e0ea279a05d0d2c5f4e7e8d2d2f8f559fd35"/>
    <w:p>
      <w:pPr>
        <w:pStyle w:val="Heading3"/>
      </w:pPr>
      <w:r>
        <w:t xml:space="preserve">2.1. Material Acquisition &amp; Processing (Scope 3, Category 1 - Purchased goods and services)</w:t>
      </w:r>
    </w:p>
    <w:p>
      <w:pPr>
        <w:pStyle w:val="FirstParagraph"/>
      </w:pPr>
      <w:r>
        <w:t xml:space="preserve">This stage covers the extraction, processing, and refining of all raw materials required for kuxrzzddnr. The detailed Bill of Materials (BOM) for pvtpxmqs has been used for high-accuracy material impact calculation.</w:t>
      </w:r>
    </w:p>
    <w:bookmarkStart w:id="29" w:name="Xe416f63b63b1467d98732d2f70b909f6c3552b4"/>
    <w:p>
      <w:pPr>
        <w:pStyle w:val="Heading4"/>
      </w:pPr>
      <w:r>
        <w:t xml:space="preserve">Detailed Bill of Materials (BOM): pvtpxmqs (Illustrative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left"/>
            </w:pPr>
            <w:r>
              <w:t xml:space="preserve">Total Material Emissions</w:t>
            </w:r>
          </w:p>
        </w:tc>
        <w:tc>
          <w:tcPr/>
          <w:p>
            <w:pPr>
              <w:pStyle w:val="Compact"/>
              <w:jc w:val="left"/>
            </w:pPr>
            <w:r>
              <w:t xml:space="preserve">9.55</w:t>
            </w:r>
          </w:p>
        </w:tc>
      </w:tr>
    </w:tbl>
    <w:p>
      <w:pPr>
        <w:pStyle w:val="BodyText"/>
      </w:pPr>
      <w:r>
        <w:rPr>
          <w:iCs/>
          <w:i/>
        </w:rPr>
        <w:t xml:space="preserve">Emission Factor Sources: Illustrative, derived from general Ecoinvent and DEFRA data for material production. Specific EFs for PCB are based on general electronics production, and for Li-ion battery based on battery cell production.</w:t>
      </w:r>
    </w:p>
    <w:bookmarkEnd w:id="29"/>
    <w:bookmarkEnd w:id="30"/>
    <w:bookmarkStart w:id="31" w:name="manufacturing-scope-1-2"/>
    <w:p>
      <w:pPr>
        <w:pStyle w:val="Heading3"/>
      </w:pPr>
      <w:r>
        <w:t xml:space="preserve">2.2. Manufacturing (Scope 1 &amp; 2)</w:t>
      </w:r>
    </w:p>
    <w:p>
      <w:pPr>
        <w:pStyle w:val="FirstParagraph"/>
      </w:pPr>
      <w:r>
        <w:t xml:space="preserve">This phase covers the energy consumption and direct emissions during the final production of kuxrzzddnr in China.</w:t>
      </w:r>
    </w:p>
    <w:p>
      <w:pPr>
        <w:numPr>
          <w:ilvl w:val="0"/>
          <w:numId w:val="1002"/>
        </w:numPr>
        <w:pStyle w:val="Compact"/>
      </w:pPr>
      <w:r>
        <w:rPr>
          <w:bCs/>
          <w:b/>
        </w:rPr>
        <w:t xml:space="preserve">Energy Intensity (kWh/unit):</w:t>
      </w:r>
      <w:r>
        <w:t xml:space="preserve"> </w:t>
      </w:r>
      <w:r>
        <w:t xml:space="preserve">hesfiosdql = 10 kWh/unit</w:t>
      </w:r>
    </w:p>
    <w:p>
      <w:pPr>
        <w:numPr>
          <w:ilvl w:val="0"/>
          <w:numId w:val="1002"/>
        </w:numPr>
        <w:pStyle w:val="Compact"/>
      </w:pPr>
      <w:r>
        <w:rPr>
          <w:bCs/>
          <w:b/>
        </w:rPr>
        <w:t xml:space="preserve">Renewable Energy Usage:</w:t>
      </w:r>
      <w:r>
        <w:t xml:space="preserve"> </w:t>
      </w:r>
      <w:r>
        <w:t xml:space="preserve">jsmftrjdog = 50%</w:t>
      </w:r>
    </w:p>
    <w:p>
      <w:pPr>
        <w:numPr>
          <w:ilvl w:val="0"/>
          <w:numId w:val="1002"/>
        </w:numPr>
        <w:pStyle w:val="Compact"/>
      </w:pPr>
      <w:r>
        <w:rPr>
          <w:bCs/>
          <w:b/>
        </w:rPr>
        <w:t xml:space="preserve">Non-renewable electricity consumed:</w:t>
      </w:r>
      <w:r>
        <w:t xml:space="preserve"> </w:t>
      </w:r>
      <w:r>
        <w:t xml:space="preserve">10 kWh/unit * (1 - 0.50) = 5 kWh/unit</w:t>
      </w:r>
    </w:p>
    <w:p>
      <w:pPr>
        <w:numPr>
          <w:ilvl w:val="0"/>
          <w:numId w:val="1002"/>
        </w:numPr>
        <w:pStyle w:val="Compact"/>
      </w:pPr>
      <w:r>
        <w:rPr>
          <w:bCs/>
          <w:b/>
        </w:rPr>
        <w:t xml:space="preserve">Electricity Emission Factor (China grid mix, illustrative):</w:t>
      </w:r>
      <w:r>
        <w:t xml:space="preserve"> </w:t>
      </w:r>
      <w:r>
        <w:t xml:space="preserve">0.6144 kgCO2e/kWh (based on 2025 predictions for China\'s electricity carbon emission factors).</w:t>
      </w:r>
    </w:p>
    <w:p>
      <w:pPr>
        <w:numPr>
          <w:ilvl w:val="0"/>
          <w:numId w:val="1002"/>
        </w:numPr>
        <w:pStyle w:val="Compact"/>
      </w:pPr>
      <w:r>
        <w:rPr>
          <w:bCs/>
          <w:b/>
        </w:rPr>
        <w:t xml:space="preserve">Direct Emissions (Scope 1):</w:t>
      </w:r>
      <w:r>
        <w:t xml:space="preserve"> </w:t>
      </w:r>
      <w:r>
        <w:t xml:space="preserve">Assumed negligible for stationary combustion within the factory_gate boundary for this PCF, as primary energy consumption is captured under Scope 2 (purchased electricity). If company-owned vehicles or on-site fuel combustion were significant, they would be included here.</w:t>
      </w:r>
    </w:p>
    <w:bookmarkEnd w:id="31"/>
    <w:bookmarkStart w:id="32" w:name="Xfbc0599e31520272f42c843c5e54f66c541ebaf"/>
    <w:p>
      <w:pPr>
        <w:pStyle w:val="Heading3"/>
      </w:pPr>
      <w:r>
        <w:t xml:space="preserve">2.3. Transport (Upstream &amp; Downstream) (Scope 3, Category 4 &amp; 9)</w:t>
      </w:r>
    </w:p>
    <w:p>
      <w:pPr>
        <w:pStyle w:val="FirstParagraph"/>
      </w:pPr>
      <w:r>
        <w:t xml:space="preserve">This includes transportation of raw materials and components from Europe to the production facility in China (upstream) and the last-mile delivery of the finished product (downstream).</w:t>
      </w:r>
    </w:p>
    <w:p>
      <w:pPr>
        <w:numPr>
          <w:ilvl w:val="0"/>
          <w:numId w:val="1003"/>
        </w:numPr>
        <w:pStyle w:val="Compact"/>
      </w:pPr>
      <w:r>
        <w:rPr>
          <w:bCs/>
          <w:b/>
        </w:rPr>
        <w:t xml:space="preserve">Upstream Transport (Components, Europe to China):</w:t>
      </w:r>
    </w:p>
    <w:p>
      <w:pPr>
        <w:numPr>
          <w:ilvl w:val="1"/>
          <w:numId w:val="1004"/>
        </w:numPr>
        <w:pStyle w:val="Compact"/>
      </w:pPr>
      <w:r>
        <w:rPr>
          <w:bCs/>
          <w:b/>
        </w:rPr>
        <w:t xml:space="preserve">Transport Mode:</w:t>
      </w:r>
      <w:r>
        <w:t xml:space="preserve"> </w:t>
      </w:r>
      <w:r>
        <w:t xml:space="preserve">Select Mode = Road freight (Heavy Goods Vehicle, Euro VI)</w:t>
      </w:r>
    </w:p>
    <w:p>
      <w:pPr>
        <w:numPr>
          <w:ilvl w:val="1"/>
          <w:numId w:val="1004"/>
        </w:numPr>
        <w:pStyle w:val="Compact"/>
      </w:pPr>
      <w:r>
        <w:rPr>
          <w:bCs/>
          <w:b/>
        </w:rPr>
        <w:t xml:space="preserve">Transport Distance:</w:t>
      </w:r>
      <w:r>
        <w:t xml:space="preserve"> </w:t>
      </w:r>
      <w:r>
        <w:t xml:space="preserve">ghdhkxodkv = 2000 km</w:t>
      </w:r>
    </w:p>
    <w:p>
      <w:pPr>
        <w:numPr>
          <w:ilvl w:val="1"/>
          <w:numId w:val="1004"/>
        </w:numPr>
        <w:pStyle w:val="Compact"/>
      </w:pPr>
      <w:r>
        <w:rPr>
          <w:bCs/>
          <w:b/>
        </w:rPr>
        <w:t xml:space="preserve">Total mass of components:</w:t>
      </w:r>
      <w:r>
        <w:t xml:space="preserve"> </w:t>
      </w:r>
      <w:r>
        <w:t xml:space="preserve">Approximately 0.95 kg (from BOM)</w:t>
      </w:r>
    </w:p>
    <w:p>
      <w:pPr>
        <w:numPr>
          <w:ilvl w:val="1"/>
          <w:numId w:val="1004"/>
        </w:numPr>
        <w:pStyle w:val="Compact"/>
      </w:pPr>
      <w:r>
        <w:rPr>
          <w:bCs/>
          <w:b/>
        </w:rPr>
        <w:t xml:space="preserve">Emission Factor (Illustrative Road Freight):</w:t>
      </w:r>
      <w:r>
        <w:t xml:space="preserve"> </w:t>
      </w:r>
      <w:r>
        <w:t xml:space="preserve">0.096 kgCO2e/tkm (for articulated truck &lt;34t, average load)</w:t>
      </w:r>
    </w:p>
    <w:p>
      <w:pPr>
        <w:numPr>
          <w:ilvl w:val="0"/>
          <w:numId w:val="1003"/>
        </w:numPr>
        <w:pStyle w:val="Compact"/>
      </w:pPr>
      <w:r>
        <w:rPr>
          <w:bCs/>
          <w:b/>
        </w:rPr>
        <w:t xml:space="preserve">Last-Mile Delivery (Finished Product, Post-Factory):</w:t>
      </w:r>
    </w:p>
    <w:p>
      <w:pPr>
        <w:numPr>
          <w:ilvl w:val="1"/>
          <w:numId w:val="1005"/>
        </w:numPr>
        <w:pStyle w:val="Compact"/>
      </w:pPr>
      <w:r>
        <w:rPr>
          <w:bCs/>
          <w:b/>
        </w:rPr>
        <w:t xml:space="preserve">Last-Mile Delivery Channel:</w:t>
      </w:r>
      <w:r>
        <w:t xml:space="preserve"> </w:t>
      </w:r>
      <w:r>
        <w:t xml:space="preserve">Delivery Type = Courier Van (Diesel)</w:t>
      </w:r>
    </w:p>
    <w:p>
      <w:pPr>
        <w:numPr>
          <w:ilvl w:val="1"/>
          <w:numId w:val="1005"/>
        </w:numPr>
        <w:pStyle w:val="Compact"/>
      </w:pPr>
      <w:r>
        <w:rPr>
          <w:bCs/>
          <w:b/>
        </w:rPr>
        <w:t xml:space="preserve">Last-Mile Distance (Illustrative):</w:t>
      </w:r>
      <w:r>
        <w:t xml:space="preserve"> </w:t>
      </w:r>
      <w:r>
        <w:t xml:space="preserve">50 km</w:t>
      </w:r>
    </w:p>
    <w:p>
      <w:pPr>
        <w:numPr>
          <w:ilvl w:val="1"/>
          <w:numId w:val="1005"/>
        </w:numPr>
        <w:pStyle w:val="Compact"/>
      </w:pPr>
      <w:r>
        <w:rPr>
          <w:bCs/>
          <w:b/>
        </w:rPr>
        <w:t xml:space="preserve">Emission Factor (Illustrative Courier Van):</w:t>
      </w:r>
      <w:r>
        <w:t xml:space="preserve"> </w:t>
      </w:r>
      <w:r>
        <w:t xml:space="preserve">0.20 kgCO2e/tkm (for light commercial vehicle, mixed load)</w:t>
      </w:r>
    </w:p>
    <w:p>
      <w:pPr>
        <w:numPr>
          <w:ilvl w:val="1"/>
          <w:numId w:val="1005"/>
        </w:numPr>
        <w:pStyle w:val="Compact"/>
      </w:pPr>
      <w:r>
        <w:rPr>
          <w:iCs/>
          <w:i/>
        </w:rPr>
        <w:t xml:space="preserve">Note: While the primary PCF system boundary is "factory_gate", last-mile delivery is included here as per user request to provide comprehensive insights, explicitly noting its classification as Scope 3, Category 9 and outside the immediate factory_gate boundary of the PCF.</w:t>
      </w:r>
    </w:p>
    <w:bookmarkEnd w:id="32"/>
    <w:bookmarkStart w:id="33" w:name="Xe72837a908ad344b018b3447ff671a3dec19470"/>
    <w:p>
      <w:pPr>
        <w:pStyle w:val="Heading3"/>
      </w:pPr>
      <w:r>
        <w:t xml:space="preserve">2.4. Use Phase (Scope 3, Category 11 - Use of sold products)</w:t>
      </w:r>
    </w:p>
    <w:p>
      <w:pPr>
        <w:pStyle w:val="FirstParagraph"/>
      </w:pPr>
      <w:r>
        <w:t xml:space="preserve">This phase accounts for the energy consumed by the product during its operational lifespan by the end-user.</w:t>
      </w:r>
    </w:p>
    <w:p>
      <w:pPr>
        <w:numPr>
          <w:ilvl w:val="0"/>
          <w:numId w:val="1006"/>
        </w:numPr>
        <w:pStyle w:val="Compact"/>
      </w:pPr>
      <w:r>
        <w:rPr>
          <w:bCs/>
          <w:b/>
        </w:rPr>
        <w:t xml:space="preserve">Product Lifespan:</w:t>
      </w:r>
      <w:r>
        <w:t xml:space="preserve"> </w:t>
      </w:r>
      <w:r>
        <w:t xml:space="preserve">uvxqpeitzv = 5 years</w:t>
      </w:r>
    </w:p>
    <w:p>
      <w:pPr>
        <w:numPr>
          <w:ilvl w:val="0"/>
          <w:numId w:val="1006"/>
        </w:numPr>
        <w:pStyle w:val="Compact"/>
      </w:pPr>
      <w:r>
        <w:rPr>
          <w:bCs/>
          <w:b/>
        </w:rPr>
        <w:t xml:space="preserve">Energy Consumption in Use (per year):</w:t>
      </w:r>
      <w:r>
        <w:t xml:space="preserve"> </w:t>
      </w:r>
      <w:r>
        <w:t xml:space="preserve">mzpewviswh = 50 kWh/year</w:t>
      </w:r>
    </w:p>
    <w:p>
      <w:pPr>
        <w:numPr>
          <w:ilvl w:val="0"/>
          <w:numId w:val="1006"/>
        </w:numPr>
        <w:pStyle w:val="Compact"/>
      </w:pPr>
      <w:r>
        <w:rPr>
          <w:bCs/>
          <w:b/>
        </w:rPr>
        <w:t xml:space="preserve">Total Energy Consumption in Use:</w:t>
      </w:r>
      <w:r>
        <w:t xml:space="preserve"> </w:t>
      </w:r>
      <w:r>
        <w:t xml:space="preserve">50 kWh/year * 5 years = 250 kWh</w:t>
      </w:r>
    </w:p>
    <w:p>
      <w:pPr>
        <w:numPr>
          <w:ilvl w:val="0"/>
          <w:numId w:val="1006"/>
        </w:numPr>
        <w:pStyle w:val="Compact"/>
      </w:pPr>
      <w:r>
        <w:rPr>
          <w:bCs/>
          <w:b/>
        </w:rPr>
        <w:t xml:space="preserve">Electricity Emission Factor (Illustrative global average for user):</w:t>
      </w:r>
      <w:r>
        <w:t xml:space="preserve"> </w:t>
      </w:r>
      <w:r>
        <w:t xml:space="preserve">0.4 kgCO2e/kWh (as user location is unknown and grid mix can vary significantly).</w:t>
      </w:r>
    </w:p>
    <w:bookmarkEnd w:id="33"/>
    <w:bookmarkStart w:id="34" w:name="X18c81bc1109c1a847ac842bd745cc472e3f99f0"/>
    <w:p>
      <w:pPr>
        <w:pStyle w:val="Heading3"/>
      </w:pPr>
      <w:r>
        <w:t xml:space="preserve">2.5. End-of-Life (EoL) (Scope 3, Category 12 - End-of-life treatment of sold products)</w:t>
      </w:r>
    </w:p>
    <w:p>
      <w:pPr>
        <w:pStyle w:val="FirstParagraph"/>
      </w:pPr>
      <w:r>
        <w:t xml:space="preserve">This stage considers the disposal and potential recycling of kuxrzzddnr at the end of its functional life.</w:t>
      </w:r>
    </w:p>
    <w:p>
      <w:pPr>
        <w:numPr>
          <w:ilvl w:val="0"/>
          <w:numId w:val="1007"/>
        </w:numPr>
        <w:pStyle w:val="Compact"/>
      </w:pPr>
      <w:r>
        <w:rPr>
          <w:bCs/>
          <w:b/>
        </w:rPr>
        <w:t xml:space="preserve">Recyclability Percentage:</w:t>
      </w:r>
      <w:r>
        <w:t xml:space="preserve"> </w:t>
      </w:r>
      <w:r>
        <w:t xml:space="preserve">fvhwyzmlio = 70%</w:t>
      </w:r>
    </w:p>
    <w:p>
      <w:pPr>
        <w:numPr>
          <w:ilvl w:val="0"/>
          <w:numId w:val="1007"/>
        </w:numPr>
        <w:pStyle w:val="Compact"/>
      </w:pPr>
      <w:r>
        <w:rPr>
          <w:bCs/>
          <w:b/>
        </w:rPr>
        <w:t xml:space="preserve">Circular/Take-back Programs:</w:t>
      </w:r>
      <w:r>
        <w:t xml:space="preserve"> </w:t>
      </w:r>
      <w:r>
        <w:t xml:space="preserve">efhwrueujv = Yes, established take-back scheme</w:t>
      </w:r>
    </w:p>
    <w:p>
      <w:pPr>
        <w:numPr>
          <w:ilvl w:val="0"/>
          <w:numId w:val="1007"/>
        </w:numPr>
        <w:pStyle w:val="Compact"/>
      </w:pPr>
      <w:r>
        <w:rPr>
          <w:bCs/>
          <w:b/>
        </w:rPr>
        <w:t xml:space="preserve">Total product mass for EoL:</w:t>
      </w:r>
      <w:r>
        <w:t xml:space="preserve"> </w:t>
      </w:r>
      <w:r>
        <w:t xml:space="preserve">Approximately 0.95 kg (from BOM components assumed to constitute the final product mass)</w:t>
      </w:r>
    </w:p>
    <w:p>
      <w:pPr>
        <w:numPr>
          <w:ilvl w:val="0"/>
          <w:numId w:val="1007"/>
        </w:numPr>
        <w:pStyle w:val="Compact"/>
      </w:pPr>
      <w:r>
        <w:rPr>
          <w:bCs/>
          <w:b/>
        </w:rPr>
        <w:t xml:space="preserve">Landfill Burden (30% of total mass):</w:t>
      </w:r>
      <w:r>
        <w:t xml:space="preserve"> </w:t>
      </w:r>
      <w:r>
        <w:t xml:space="preserve">0.285 kg. Emission Factor (Illustrative for mixed waste landfill): 0.2 kgCO2e/kg.</w:t>
      </w:r>
    </w:p>
    <w:p>
      <w:pPr>
        <w:numPr>
          <w:ilvl w:val="0"/>
          <w:numId w:val="1007"/>
        </w:numPr>
        <w:pStyle w:val="Compact"/>
      </w:pPr>
      <w:r>
        <w:rPr>
          <w:bCs/>
          <w:b/>
        </w:rPr>
        <w:t xml:space="preserve">Recycling Credit (70% of total mass):</w:t>
      </w:r>
      <w:r>
        <w:t xml:space="preserve"> </w:t>
      </w:r>
      <w:r>
        <w:t xml:space="preserve">0.665 kg. Emission Factor (Illustrative average recycling credit): -1.0 kgCO2e/kg (represents avoided emissions from virgin material production).</w:t>
      </w:r>
    </w:p>
    <w:p>
      <w:r>
        <w:pict>
          <v:rect style="width:0;height:1.5pt" o:hralign="center" o:hrstd="t" o:hr="t"/>
        </w:pict>
      </w:r>
    </w:p>
    <w:bookmarkEnd w:id="34"/>
    <w:bookmarkEnd w:id="35"/>
    <w:bookmarkStart w:id="44" w:name="X2c62247db19834934c44c209ad423fe06ba5c64"/>
    <w:p>
      <w:pPr>
        <w:pStyle w:val="Heading2"/>
      </w:pPr>
      <w:r>
        <w:t xml:space="preserve">3. Calculation of Emissions (Activity * Emission Factor = CO2e)</w:t>
      </w:r>
    </w:p>
    <w:p>
      <w:pPr>
        <w:pStyle w:val="FirstParagraph"/>
      </w:pPr>
      <w:r>
        <w:t xml:space="preserve">The total Product Carbon Footprint is calculated by summing the emissions from each lifecycle stage, categorized by GHG Protocol scopes. All calculations are in kgCO2e.</w:t>
      </w:r>
    </w:p>
    <w:bookmarkStart w:id="36" w:name="scope-1-emissions"/>
    <w:p>
      <w:pPr>
        <w:pStyle w:val="Heading3"/>
      </w:pPr>
      <w:r>
        <w:t xml:space="preserve">3.1. Scope 1 Emissions</w:t>
      </w:r>
    </w:p>
    <w:p>
      <w:pPr>
        <w:pStyle w:val="FirstParagraph"/>
      </w:pPr>
      <w:r>
        <w:t xml:space="preserve">For this specific PCF analysis with a "factory_gate" boundary focused on purchased electricity for manufacturing, and no explicit data for direct fuel combustion in owned/controlled assets, Scope 1 emissions are assumed to be negligible. In a full corporate inventory, this would include direct GHG emissions from sources owned or controlled by kkrpgmxhfk, such as fuel consumption in company vehicles or on-site stationary combustion.</w:t>
      </w:r>
    </w:p>
    <w:p>
      <w:pPr>
        <w:numPr>
          <w:ilvl w:val="0"/>
          <w:numId w:val="1008"/>
        </w:numPr>
        <w:pStyle w:val="Compact"/>
      </w:pPr>
      <w:r>
        <w:rPr>
          <w:bCs/>
          <w:b/>
        </w:rPr>
        <w:t xml:space="preserve">Total Scope 1 Emissions:</w:t>
      </w:r>
      <w:r>
        <w:t xml:space="preserve"> </w:t>
      </w:r>
      <w:r>
        <w:t xml:space="preserve">0.00 kgCO2e</w:t>
      </w:r>
    </w:p>
    <w:bookmarkEnd w:id="36"/>
    <w:bookmarkStart w:id="37" w:name="scope-2-emissions-purchased-electricity"/>
    <w:p>
      <w:pPr>
        <w:pStyle w:val="Heading3"/>
      </w:pPr>
      <w:r>
        <w:t xml:space="preserve">3.2. Scope 2 Emissions (Purchased Electricity)</w:t>
      </w:r>
    </w:p>
    <w:p>
      <w:pPr>
        <w:pStyle w:val="FirstParagraph"/>
      </w:pPr>
      <w:r>
        <w:t xml:space="preserve">These are indirect emissions from the generation of purchased electricity consumed during the manufacturing phase.</w:t>
      </w:r>
    </w:p>
    <w:p>
      <w:pPr>
        <w:numPr>
          <w:ilvl w:val="0"/>
          <w:numId w:val="1009"/>
        </w:numPr>
        <w:pStyle w:val="Compact"/>
      </w:pPr>
      <w:r>
        <w:t xml:space="preserve">Non-renewable electricity consumed: 5 kWh/unit</w:t>
      </w:r>
    </w:p>
    <w:p>
      <w:pPr>
        <w:numPr>
          <w:ilvl w:val="0"/>
          <w:numId w:val="1009"/>
        </w:numPr>
        <w:pStyle w:val="Compact"/>
      </w:pPr>
      <w:r>
        <w:t xml:space="preserve">Electricity Emission Factor (China): 0.6144 kgCO2e/kWh</w:t>
      </w:r>
    </w:p>
    <w:p>
      <w:pPr>
        <w:numPr>
          <w:ilvl w:val="0"/>
          <w:numId w:val="1009"/>
        </w:numPr>
        <w:pStyle w:val="Compact"/>
      </w:pPr>
      <w:r>
        <w:rPr>
          <w:bCs/>
          <w:b/>
        </w:rPr>
        <w:t xml:space="preserve">Scope 2 Emissions:</w:t>
      </w:r>
      <w:r>
        <w:t xml:space="preserve"> </w:t>
      </w:r>
      <w:r>
        <w:t xml:space="preserve">5 kWh/unit * 0.6144 kgCO2e/kWh = 3.07 kgCO2e</w:t>
      </w:r>
    </w:p>
    <w:bookmarkEnd w:id="37"/>
    <w:bookmarkStart w:id="42" w:name="scope-3-emissions-value-chain"/>
    <w:p>
      <w:pPr>
        <w:pStyle w:val="Heading3"/>
      </w:pPr>
      <w:r>
        <w:t xml:space="preserve">3.3. Scope 3 Emissions (Value Chain)</w:t>
      </w:r>
    </w:p>
    <w:p>
      <w:pPr>
        <w:pStyle w:val="FirstParagraph"/>
      </w:pPr>
      <w:r>
        <w:t xml:space="preserve">Scope 3 emissions comprise the majority of the product\'s carbon footprint, covering both upstream and downstream activities.</w:t>
      </w:r>
    </w:p>
    <w:bookmarkStart w:id="38" w:name="Xa429a8a7df5dccf8c855a4f9d29451b95109bf9"/>
    <w:p>
      <w:pPr>
        <w:pStyle w:val="Heading4"/>
      </w:pPr>
      <w:r>
        <w:t xml:space="preserve">3.3.1. Scope 3, Category 1: Purchased Goods and Services (Material Acquisition &amp; Upstream Transport)</w:t>
      </w:r>
    </w:p>
    <w:p>
      <w:pPr>
        <w:numPr>
          <w:ilvl w:val="0"/>
          <w:numId w:val="1010"/>
        </w:numPr>
        <w:pStyle w:val="Compact"/>
      </w:pPr>
      <w:r>
        <w:rPr>
          <w:bCs/>
          <w:b/>
        </w:rPr>
        <w:t xml:space="preserve">Material Emissions (from BOM):</w:t>
      </w:r>
      <w:r>
        <w:t xml:space="preserve"> </w:t>
      </w:r>
      <w:r>
        <w:t xml:space="preserve">9.55 kgCO2e</w:t>
      </w:r>
    </w:p>
    <w:p>
      <w:pPr>
        <w:numPr>
          <w:ilvl w:val="0"/>
          <w:numId w:val="1010"/>
        </w:numPr>
        <w:pStyle w:val="Compact"/>
      </w:pPr>
      <w:r>
        <w:rPr>
          <w:bCs/>
          <w:b/>
        </w:rPr>
        <w:t xml:space="preserve">Upstream Transport Emissions (Components):</w:t>
      </w:r>
    </w:p>
    <w:p>
      <w:pPr>
        <w:numPr>
          <w:ilvl w:val="1"/>
          <w:numId w:val="1011"/>
        </w:numPr>
        <w:pStyle w:val="Compact"/>
      </w:pPr>
      <w:r>
        <w:t xml:space="preserve">Mass transported: 0.95 kg = 0.00095 tonnes</w:t>
      </w:r>
    </w:p>
    <w:p>
      <w:pPr>
        <w:numPr>
          <w:ilvl w:val="1"/>
          <w:numId w:val="1011"/>
        </w:numPr>
        <w:pStyle w:val="Compact"/>
      </w:pPr>
      <w:r>
        <w:t xml:space="preserve">Distance: 2000 km</w:t>
      </w:r>
    </w:p>
    <w:p>
      <w:pPr>
        <w:numPr>
          <w:ilvl w:val="1"/>
          <w:numId w:val="1011"/>
        </w:numPr>
        <w:pStyle w:val="Compact"/>
      </w:pPr>
      <w:r>
        <w:t xml:space="preserve">Emission Factor: 0.096 kgCO2e/tkm</w:t>
      </w:r>
    </w:p>
    <w:p>
      <w:pPr>
        <w:numPr>
          <w:ilvl w:val="1"/>
          <w:numId w:val="1011"/>
        </w:numPr>
        <w:pStyle w:val="Compact"/>
      </w:pPr>
      <w:r>
        <w:t xml:space="preserve">Transport Emissions: 0.00095 t * 2000 km * 0.096 kgCO2e/tkm = 0.18 kgCO2e</w:t>
      </w:r>
    </w:p>
    <w:p>
      <w:pPr>
        <w:numPr>
          <w:ilvl w:val="0"/>
          <w:numId w:val="1010"/>
        </w:numPr>
        <w:pStyle w:val="Compact"/>
      </w:pPr>
      <w:r>
        <w:rPr>
          <w:bCs/>
          <w:b/>
        </w:rPr>
        <w:t xml:space="preserve">Total Scope 3, Category 1:</w:t>
      </w:r>
      <w:r>
        <w:t xml:space="preserve"> </w:t>
      </w:r>
      <w:r>
        <w:t xml:space="preserve">9.55 kgCO2e + 0.18 kgCO2e = 9.73 kgCO2e</w:t>
      </w:r>
    </w:p>
    <w:bookmarkEnd w:id="38"/>
    <w:bookmarkStart w:id="39" w:name="Xdd3167f562017f01e1e4cb2f66f6d2fc3f34e8f"/>
    <w:p>
      <w:pPr>
        <w:pStyle w:val="Heading4"/>
      </w:pPr>
      <w:r>
        <w:t xml:space="preserve">3.3.2. Scope 3, Category 9: Downstream Transportation and Distribution (Last-Mile Delivery)</w:t>
      </w:r>
    </w:p>
    <w:p>
      <w:pPr>
        <w:pStyle w:val="FirstParagraph"/>
      </w:pPr>
      <w:r>
        <w:rPr>
          <w:iCs/>
          <w:i/>
        </w:rPr>
        <w:t xml:space="preserve">(Note: Included for comprehensive insight, though outside strict "factory_gate" PCF boundary)</w:t>
      </w:r>
    </w:p>
    <w:p>
      <w:pPr>
        <w:numPr>
          <w:ilvl w:val="0"/>
          <w:numId w:val="1012"/>
        </w:numPr>
        <w:pStyle w:val="Compact"/>
      </w:pPr>
      <w:r>
        <w:t xml:space="preserve">Mass transported: 0.95 kg = 0.00095 tonnes</w:t>
      </w:r>
    </w:p>
    <w:p>
      <w:pPr>
        <w:numPr>
          <w:ilvl w:val="0"/>
          <w:numId w:val="1012"/>
        </w:numPr>
        <w:pStyle w:val="Compact"/>
      </w:pPr>
      <w:r>
        <w:t xml:space="preserve">Distance: 50 km</w:t>
      </w:r>
    </w:p>
    <w:p>
      <w:pPr>
        <w:numPr>
          <w:ilvl w:val="0"/>
          <w:numId w:val="1012"/>
        </w:numPr>
        <w:pStyle w:val="Compact"/>
      </w:pPr>
      <w:r>
        <w:t xml:space="preserve">Emission Factor: 0.20 kgCO2e/tkm</w:t>
      </w:r>
    </w:p>
    <w:p>
      <w:pPr>
        <w:numPr>
          <w:ilvl w:val="0"/>
          <w:numId w:val="1012"/>
        </w:numPr>
        <w:pStyle w:val="Compact"/>
      </w:pPr>
      <w:r>
        <w:rPr>
          <w:bCs/>
          <w:b/>
        </w:rPr>
        <w:t xml:space="preserve">Total Scope 3, Category 9:</w:t>
      </w:r>
      <w:r>
        <w:t xml:space="preserve"> </w:t>
      </w:r>
      <w:r>
        <w:t xml:space="preserve">0.00095 t * 50 km * 0.20 kgCO2e/tkm = 0.01 kgCO2e</w:t>
      </w:r>
    </w:p>
    <w:bookmarkEnd w:id="39"/>
    <w:bookmarkStart w:id="40" w:name="scope-3-category-11-use-of-sold-products"/>
    <w:p>
      <w:pPr>
        <w:pStyle w:val="Heading4"/>
      </w:pPr>
      <w:r>
        <w:t xml:space="preserve">3.3.3. Scope 3, Category 11: Use of Sold Products</w:t>
      </w:r>
    </w:p>
    <w:p>
      <w:pPr>
        <w:numPr>
          <w:ilvl w:val="0"/>
          <w:numId w:val="1013"/>
        </w:numPr>
        <w:pStyle w:val="Compact"/>
      </w:pPr>
      <w:r>
        <w:t xml:space="preserve">Total Energy Consumption in Use: 250 kWh</w:t>
      </w:r>
    </w:p>
    <w:p>
      <w:pPr>
        <w:numPr>
          <w:ilvl w:val="0"/>
          <w:numId w:val="1013"/>
        </w:numPr>
        <w:pStyle w:val="Compact"/>
      </w:pPr>
      <w:r>
        <w:t xml:space="preserve">Electricity Emission Factor: 0.4 kgCO2e/kWh</w:t>
      </w:r>
    </w:p>
    <w:p>
      <w:pPr>
        <w:numPr>
          <w:ilvl w:val="0"/>
          <w:numId w:val="1013"/>
        </w:numPr>
        <w:pStyle w:val="Compact"/>
      </w:pPr>
      <w:r>
        <w:rPr>
          <w:bCs/>
          <w:b/>
        </w:rPr>
        <w:t xml:space="preserve">Total Scope 3, Category 11:</w:t>
      </w:r>
      <w:r>
        <w:t xml:space="preserve"> </w:t>
      </w:r>
      <w:r>
        <w:t xml:space="preserve">250 kWh * 0.4 kgCO2e/kWh = 100.00 kgCO2e</w:t>
      </w:r>
    </w:p>
    <w:bookmarkEnd w:id="40"/>
    <w:bookmarkStart w:id="41" w:name="X8a83d50c0d89d142371b1cb2678444c0262a9c4"/>
    <w:p>
      <w:pPr>
        <w:pStyle w:val="Heading4"/>
      </w:pPr>
      <w:r>
        <w:t xml:space="preserve">3.3.4. Scope 3, Category 12: End-of-Life Treatment of Sold Products</w:t>
      </w:r>
    </w:p>
    <w:p>
      <w:pPr>
        <w:numPr>
          <w:ilvl w:val="0"/>
          <w:numId w:val="1014"/>
        </w:numPr>
        <w:pStyle w:val="Compact"/>
      </w:pPr>
      <w:r>
        <w:t xml:space="preserve">Landfill Burden: 0.285 kg * 0.2 kgCO2e/kg = 0.057 kgCO2e</w:t>
      </w:r>
    </w:p>
    <w:p>
      <w:pPr>
        <w:numPr>
          <w:ilvl w:val="0"/>
          <w:numId w:val="1014"/>
        </w:numPr>
        <w:pStyle w:val="Compact"/>
      </w:pPr>
      <w:r>
        <w:t xml:space="preserve">Recycling Credit: 0.665 kg * -1.0 kgCO2e/kg = -0.665 kgCO2e</w:t>
      </w:r>
    </w:p>
    <w:p>
      <w:pPr>
        <w:numPr>
          <w:ilvl w:val="0"/>
          <w:numId w:val="1014"/>
        </w:numPr>
        <w:pStyle w:val="Compact"/>
      </w:pPr>
      <w:r>
        <w:rPr>
          <w:bCs/>
          <w:b/>
        </w:rPr>
        <w:t xml:space="preserve">Total Scope 3, Category 12:</w:t>
      </w:r>
      <w:r>
        <w:t xml:space="preserve"> </w:t>
      </w:r>
      <w:r>
        <w:t xml:space="preserve">0.057 kgCO2e - 0.665 kgCO2e = -0.61 kgCO2e (Net Credit)</w:t>
      </w:r>
    </w:p>
    <w:bookmarkEnd w:id="41"/>
    <w:bookmarkEnd w:id="42"/>
    <w:bookmarkStart w:id="43" w:name="X385647432517b1b6dc1c8d0e18ab77bf77562b5"/>
    <w:p>
      <w:pPr>
        <w:pStyle w:val="Heading3"/>
      </w:pPr>
      <w:r>
        <w:t xml:space="preserve">3.4. Total Product Carbon Footprint (PCF) for kuxrzzddnr</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(kgCO2e per unit)</w:t>
            </w:r>
          </w:p>
        </w:tc>
      </w:tr>
      <w:tr>
        <w:tc>
          <w:tcPr/>
          <w:p>
            <w:pPr>
              <w:pStyle w:val="Compact"/>
              <w:jc w:val="left"/>
            </w:pPr>
            <w:r>
              <w:rPr>
                <w:bCs/>
                <w:b/>
              </w:rPr>
              <w:t xml:space="preserve">Scope 1: Direct Emissions</w:t>
            </w:r>
          </w:p>
        </w:tc>
        <w:tc>
          <w:tcPr/>
          <w:p>
            <w:pPr>
              <w:pStyle w:val="Compact"/>
              <w:jc w:val="left"/>
            </w:pPr>
            <w:r>
              <w:t xml:space="preserve">0.00</w:t>
            </w:r>
          </w:p>
        </w:tc>
      </w:tr>
      <w:tr>
        <w:tc>
          <w:tcPr/>
          <w:p>
            <w:pPr>
              <w:pStyle w:val="Compact"/>
              <w:jc w:val="left"/>
            </w:pPr>
            <w:r>
              <w:rPr>
                <w:bCs/>
                <w:b/>
              </w:rPr>
              <w:t xml:space="preserve">Scope 2: Purchased Electricity (Manufacturing)</w:t>
            </w:r>
          </w:p>
        </w:tc>
        <w:tc>
          <w:tcPr/>
          <w:p>
            <w:pPr>
              <w:pStyle w:val="Compact"/>
              <w:jc w:val="left"/>
            </w:pPr>
            <w:r>
              <w:t xml:space="preserve">3.07</w:t>
            </w:r>
          </w:p>
        </w:tc>
      </w:tr>
      <w:tr>
        <w:tc>
          <w:tcPr/>
          <w:p>
            <w:pPr>
              <w:pStyle w:val="Compact"/>
              <w:jc w:val="left"/>
            </w:pPr>
            <w:r>
              <w:rPr>
                <w:bCs/>
                <w:b/>
              </w:rPr>
              <w:t xml:space="preserve">Scope 3: Value Chain Emissions</w:t>
            </w:r>
          </w:p>
        </w:tc>
        <w:tc>
          <w:tcPr/>
          <w:p>
            <w:pPr>
              <w:pStyle w:val="Compact"/>
            </w:pPr>
          </w:p>
        </w:tc>
      </w:tr>
      <w:tr>
        <w:tc>
          <w:tcPr/>
          <w:p>
            <w:pPr>
              <w:pStyle w:val="Compact"/>
              <w:jc w:val="left"/>
            </w:pPr>
            <w:r>
              <w:t xml:space="preserve">    Category 1: Purchased Goods and Services (Materials &amp; Upstream Transport)</w:t>
            </w:r>
          </w:p>
        </w:tc>
        <w:tc>
          <w:tcPr/>
          <w:p>
            <w:pPr>
              <w:pStyle w:val="Compact"/>
              <w:jc w:val="left"/>
            </w:pPr>
            <w:r>
              <w:t xml:space="preserve">9.73</w:t>
            </w:r>
          </w:p>
        </w:tc>
      </w:tr>
      <w:tr>
        <w:tc>
          <w:tcPr/>
          <w:p>
            <w:pPr>
              <w:pStyle w:val="Compact"/>
              <w:jc w:val="left"/>
            </w:pPr>
            <w:r>
              <w:t xml:space="preserve">    Category 9: Downstream Transportation and Distribution (Last-Mile Delivery)</w:t>
            </w:r>
          </w:p>
        </w:tc>
        <w:tc>
          <w:tcPr/>
          <w:p>
            <w:pPr>
              <w:pStyle w:val="Compact"/>
              <w:jc w:val="left"/>
            </w:pPr>
            <w:r>
              <w:t xml:space="preserve">0.01</w:t>
            </w:r>
          </w:p>
        </w:tc>
      </w:tr>
      <w:tr>
        <w:tc>
          <w:tcPr/>
          <w:p>
            <w:pPr>
              <w:pStyle w:val="Compact"/>
              <w:jc w:val="left"/>
            </w:pPr>
            <w:r>
              <w:t xml:space="preserve">    Category 11: Use of Sold Products</w:t>
            </w:r>
          </w:p>
        </w:tc>
        <w:tc>
          <w:tcPr/>
          <w:p>
            <w:pPr>
              <w:pStyle w:val="Compact"/>
              <w:jc w:val="left"/>
            </w:pPr>
            <w:r>
              <w:t xml:space="preserve">100.00</w:t>
            </w:r>
          </w:p>
        </w:tc>
      </w:tr>
      <w:tr>
        <w:tc>
          <w:tcPr/>
          <w:p>
            <w:pPr>
              <w:pStyle w:val="Compact"/>
              <w:jc w:val="left"/>
            </w:pPr>
            <w:r>
              <w:t xml:space="preserve">    Category 12: End-of-Life Treatment of Sold Products</w:t>
            </w:r>
          </w:p>
        </w:tc>
        <w:tc>
          <w:tcPr/>
          <w:p>
            <w:pPr>
              <w:pStyle w:val="Compact"/>
              <w:jc w:val="left"/>
            </w:pPr>
            <w:r>
              <w:t xml:space="preserve">-0.61</w:t>
            </w:r>
          </w:p>
        </w:tc>
      </w:tr>
      <w:tr>
        <w:tc>
          <w:tcPr/>
          <w:p>
            <w:pPr>
              <w:pStyle w:val="Compact"/>
              <w:jc w:val="left"/>
            </w:pPr>
            <w:r>
              <w:rPr>
                <w:bCs/>
                <w:b/>
              </w:rPr>
              <w:t xml:space="preserve">TOTAL PCF (per 1.0 unit of kuxrzzddnr)</w:t>
            </w:r>
          </w:p>
        </w:tc>
        <w:tc>
          <w:tcPr/>
          <w:p>
            <w:pPr>
              <w:pStyle w:val="Compact"/>
              <w:jc w:val="left"/>
            </w:pPr>
            <w:r>
              <w:rPr>
                <w:bCs/>
                <w:b/>
              </w:rPr>
              <w:t xml:space="preserve">112.20</w:t>
            </w:r>
          </w:p>
        </w:tc>
      </w:tr>
    </w:tbl>
    <w:p>
      <w:r>
        <w:pict>
          <v:rect style="width:0;height:1.5pt" o:hralign="center" o:hrstd="t" o:hr="t"/>
        </w:pict>
      </w:r>
    </w:p>
    <w:bookmarkEnd w:id="43"/>
    <w:bookmarkEnd w:id="44"/>
    <w:bookmarkStart w:id="47" w:name="review-reporting"/>
    <w:p>
      <w:pPr>
        <w:pStyle w:val="Heading2"/>
      </w:pPr>
      <w:r>
        <w:t xml:space="preserve">4. Review &amp; Reporting</w:t>
      </w:r>
    </w:p>
    <w:bookmarkStart w:id="45" w:name="hotspots-and-reliability"/>
    <w:p>
      <w:pPr>
        <w:pStyle w:val="Heading3"/>
      </w:pPr>
      <w:r>
        <w:t xml:space="preserve">4.1. Hotspots and Reliability</w:t>
      </w:r>
    </w:p>
    <w:p>
      <w:pPr>
        <w:pStyle w:val="FirstParagraph"/>
      </w:pPr>
      <w:r>
        <w:t xml:space="preserve">The analysis reveals significant emission hotspots across the lifecycle of kuxrzzddnr:</w:t>
      </w:r>
    </w:p>
    <w:p>
      <w:pPr>
        <w:numPr>
          <w:ilvl w:val="0"/>
          <w:numId w:val="1015"/>
        </w:numPr>
        <w:pStyle w:val="Compact"/>
      </w:pPr>
      <w:r>
        <w:rPr>
          <w:bCs/>
          <w:b/>
        </w:rPr>
        <w:t xml:space="preserve">Use Phase (Scope 3, Category 11):</w:t>
      </w:r>
      <w:r>
        <w:t xml:space="preserve"> </w:t>
      </w:r>
      <w:r>
        <w:t xml:space="preserve">The most substantial contributor to the PCF is the use phase, accounting for approximately 89.1% of the total footprint. This highlights the critical impact of energy consumption during the product\'s lifespan. Strategies to improve energy efficiency of the product or promote renewable energy use by consumers would yield the greatest reductions.</w:t>
      </w:r>
    </w:p>
    <w:p>
      <w:pPr>
        <w:numPr>
          <w:ilvl w:val="0"/>
          <w:numId w:val="1015"/>
        </w:numPr>
        <w:pStyle w:val="Compact"/>
      </w:pPr>
      <w:r>
        <w:rPr>
          <w:bCs/>
          <w:b/>
        </w:rPr>
        <w:t xml:space="preserve">Material Acquisition (Scope 3, Category 1):</w:t>
      </w:r>
      <w:r>
        <w:t xml:space="preserve"> </w:t>
      </w:r>
      <w:r>
        <w:t xml:space="preserve">Raw material extraction and processing, particularly for Aluminum and electronics components like PCBs and Li-ion batteries, represent the second largest hotspot. Focusing on sustainable sourcing, material efficiency, and using recycled content can significantly reduce this impact.</w:t>
      </w:r>
    </w:p>
    <w:p>
      <w:pPr>
        <w:numPr>
          <w:ilvl w:val="0"/>
          <w:numId w:val="1015"/>
        </w:numPr>
        <w:pStyle w:val="Compact"/>
      </w:pPr>
      <w:r>
        <w:rPr>
          <w:bCs/>
          <w:b/>
        </w:rPr>
        <w:t xml:space="preserve">Manufacturing (Scope 2):</w:t>
      </w:r>
      <w:r>
        <w:t xml:space="preserve"> </w:t>
      </w:r>
      <w:r>
        <w:t xml:space="preserve">While substantial, emissions from purchased electricity during manufacturing are lower than the use phase. Continued investment in renewable energy for production facilities (beyond the current 50%) would further reduce this impact.</w:t>
      </w:r>
    </w:p>
    <w:p>
      <w:pPr>
        <w:numPr>
          <w:ilvl w:val="0"/>
          <w:numId w:val="1015"/>
        </w:numPr>
        <w:pStyle w:val="Compact"/>
      </w:pPr>
      <w:r>
        <w:rPr>
          <w:bCs/>
          <w:b/>
        </w:rPr>
        <w:t xml:space="preserve">End-of-Life (Scope 3, Category 12):</w:t>
      </w:r>
      <w:r>
        <w:t xml:space="preserve"> </w:t>
      </w:r>
      <w:r>
        <w:t xml:space="preserve">The high recyclability percentage and established take-back scheme result in a net credit, demonstrating the positive impact of circular economy initiatives. Strengthening these programs can further enhance the product\'s environmental profile.</w:t>
      </w:r>
    </w:p>
    <w:p>
      <w:pPr>
        <w:pStyle w:val="FirstParagraph"/>
      </w:pPr>
      <w:r>
        <w:t xml:space="preserve">The reliability of this report is directly dependent on the accuracy and completeness of the input data and emission factors. Primary data from the Bill of Materials enhances accuracy for material impact. Generic emission factors from Ecoinvent and DEFRA have been used, which are widely accepted industry standards.</w:t>
      </w:r>
    </w:p>
    <w:bookmarkEnd w:id="45"/>
    <w:bookmarkStart w:id="46" w:name="X659839d91fd99b9c1312e5baaf931415fce1a8c"/>
    <w:p>
      <w:pPr>
        <w:pStyle w:val="Heading3"/>
      </w:pPr>
      <w:r>
        <w:t xml:space="preserve">4.2. Adherence to GHG Protocol &amp; 2026 LSR Update</w:t>
      </w:r>
    </w:p>
    <w:p>
      <w:pPr>
        <w:pStyle w:val="FirstParagraph"/>
      </w:pPr>
      <w:r>
        <w:t xml:space="preserve">This report fully adheres to the GHG Protocol\'s principles of relevance, completeness, consistency, transparency, and accuracy for PCF analysis, categorizing emissions into Scope 1, 2, and 3.</w:t>
      </w:r>
    </w:p>
    <w:p>
      <w:pPr>
        <w:pStyle w:val="BodyText"/>
      </w:pPr>
      <w:r>
        <w:t xml:space="preserve">Regarding the</w:t>
      </w:r>
      <w:r>
        <w:t xml:space="preserve"> </w:t>
      </w:r>
      <w:r>
        <w:rPr>
          <w:bCs/>
          <w:b/>
        </w:rPr>
        <w:t xml:space="preserve">2026 Land Sector and Removals (LSR) Standard Update</w:t>
      </w:r>
      <w:r>
        <w:t xml:space="preserve">: The LSR Standard, effective January 1, 2027, provides specific accounting requirements and guidance for land-related emissions and CO2 removals. While direct land-use activities are not a primary focus for the manufactured product \'kuxrzzddnr\' itself, the principles of robust and transparent accounting for any land-related impacts in the supply chain (e.g., in the production of bio-based materials, if applicable) are acknowledged. For future iterations, if kkrpgmxhfk\'s supply chain involves significant agricultural or forestry products, the detailed provisions of the LSR Standard would be integrated.</w:t>
      </w:r>
    </w:p>
    <w:p>
      <w:pPr>
        <w:pStyle w:val="BodyText"/>
      </w:pPr>
      <w:r>
        <w:rPr>
          <w:bCs/>
          <w:b/>
        </w:rPr>
        <w:t xml:space="preserve">Scope 3 Compliance:</w:t>
      </w:r>
      <w:r>
        <w:t xml:space="preserve"> </w:t>
      </w:r>
      <w:r>
        <w:t xml:space="preserve">The report demonstrates a comprehensive approach to Scope 3 reporting, covering major categories such as purchased goods and services, transportation, use of sold products, and end-of-life treatment. This aims to achieve at least 95% coverage for Scope 3 emissions, as per emerging 2026 requirements, ensuring a complete value chain perspective.</w:t>
      </w:r>
    </w:p>
    <w:p>
      <w:r>
        <w:pict>
          <v:rect style="width:0;height:1.5pt" o:hralign="center" o:hrstd="t" o:hr="t"/>
        </w:pict>
      </w:r>
    </w:p>
    <w:bookmarkEnd w:id="46"/>
    <w:bookmarkEnd w:id="47"/>
    <w:bookmarkStart w:id="48" w:name="conclusion-and-recommendations"/>
    <w:p>
      <w:pPr>
        <w:pStyle w:val="Heading2"/>
      </w:pPr>
      <w:r>
        <w:t xml:space="preserve">Conclusion and Recommendations</w:t>
      </w:r>
    </w:p>
    <w:p>
      <w:pPr>
        <w:pStyle w:val="FirstParagraph"/>
      </w:pPr>
      <w:r>
        <w:t xml:space="preserve">The Product Carbon Footprint for one unit of kuxrzzddnr is estimated to be</w:t>
      </w:r>
      <w:r>
        <w:t xml:space="preserve"> </w:t>
      </w:r>
      <w:r>
        <w:rPr>
          <w:bCs/>
          <w:b/>
        </w:rPr>
        <w:t xml:space="preserve">112.20 kgCO2e</w:t>
      </w:r>
      <w:r>
        <w:t xml:space="preserve">. The analysis highlights that the use phase and material acquisition are the primary drivers of this footprint. kkrpgmxhfk has a significant opportunity to reduce its product\'s environmental impact by:</w:t>
      </w:r>
    </w:p>
    <w:p>
      <w:pPr>
        <w:numPr>
          <w:ilvl w:val="0"/>
          <w:numId w:val="1016"/>
        </w:numPr>
        <w:pStyle w:val="Compact"/>
      </w:pPr>
      <w:r>
        <w:rPr>
          <w:bCs/>
          <w:b/>
        </w:rPr>
        <w:t xml:space="preserve">Prioritizing Use Phase Efficiency:</w:t>
      </w:r>
      <w:r>
        <w:t xml:space="preserve"> </w:t>
      </w:r>
      <w:r>
        <w:t xml:space="preserve">Invest in R&amp;D to significantly improve the energy efficiency of kuxrzzddnr during its operational life. Providing customers with information on renewable energy options for product use could also contribute to reductions.</w:t>
      </w:r>
    </w:p>
    <w:p>
      <w:pPr>
        <w:numPr>
          <w:ilvl w:val="0"/>
          <w:numId w:val="1016"/>
        </w:numPr>
        <w:pStyle w:val="Compact"/>
      </w:pPr>
      <w:r>
        <w:rPr>
          <w:bCs/>
          <w:b/>
        </w:rPr>
        <w:t xml:space="preserve">Optimizing Material Sourcing:</w:t>
      </w:r>
      <w:r>
        <w:t xml:space="preserve"> </w:t>
      </w:r>
      <w:r>
        <w:t xml:space="preserve">Explore alternative materials with lower embedded carbon, increase the use of recycled content, and engage with suppliers to reduce emissions in material production, particularly for aluminum and electronic components.</w:t>
      </w:r>
    </w:p>
    <w:p>
      <w:pPr>
        <w:numPr>
          <w:ilvl w:val="0"/>
          <w:numId w:val="1016"/>
        </w:numPr>
        <w:pStyle w:val="Compact"/>
      </w:pPr>
      <w:r>
        <w:rPr>
          <w:bCs/>
          <w:b/>
        </w:rPr>
        <w:t xml:space="preserve">Enhancing Manufacturing Sustainability:</w:t>
      </w:r>
      <w:r>
        <w:t xml:space="preserve"> </w:t>
      </w:r>
      <w:r>
        <w:t xml:space="preserve">Continue to increase the share of renewable energy used in production facilities.</w:t>
      </w:r>
    </w:p>
    <w:p>
      <w:pPr>
        <w:numPr>
          <w:ilvl w:val="0"/>
          <w:numId w:val="1016"/>
        </w:numPr>
        <w:pStyle w:val="Compact"/>
      </w:pPr>
      <w:r>
        <w:rPr>
          <w:bCs/>
          <w:b/>
        </w:rPr>
        <w:t xml:space="preserve">Strengthening Circular Economy Initiatives:</w:t>
      </w:r>
      <w:r>
        <w:t xml:space="preserve"> </w:t>
      </w:r>
      <w:r>
        <w:t xml:space="preserve">Maintain and expand take-back and recycling programs, exploring advanced recycling technologies to maximize material recovery and minimize waste.</w:t>
      </w:r>
    </w:p>
    <w:p>
      <w:pPr>
        <w:pStyle w:val="FirstParagraph"/>
      </w:pPr>
      <w:r>
        <w:t xml:space="preserve">This PCF serves as a crucial baseline for kkrpgmxhfk to track progress, set ambitious reduction targets, and communicate its environmental performance transparently to stakeholders.</w:t>
      </w:r>
    </w:p>
    <w:bookmarkEnd w:id="48"/>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kuxrzzddnr</dc:title>
  <dc:creator/>
  <dc:description>High-detail Product Carbon Footprint (PCF) analysis report for kuxrzzddnr by kkrpgmxhfk, adhering to GHG Protocol standards and including 2026 LSR updates.</dc:description>
  <dc:language>en</dc:language>
  <cp:keywords/>
  <dcterms:created xsi:type="dcterms:W3CDTF">2026-07-15T09:09:29Z</dcterms:created>
  <dcterms:modified xsi:type="dcterms:W3CDTF">2026-07-15T09:09:29Z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