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kuutxsznst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kuutxsznst</w:t>
      </w:r>
    </w:p>
    <w:p>
      <w:pPr>
        <w:pStyle w:val="BodyText"/>
      </w:pPr>
      <w:r>
        <w:rPr>
          <w:bCs/>
          <w:b/>
        </w:rPr>
        <w:t xml:space="preserve">Company:</w:t>
      </w:r>
      <w:r>
        <w:t xml:space="preserve"> </w:t>
      </w:r>
      <w:r>
        <w:t xml:space="preserve">usxpsrppmh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pprngkyhjw</w:t>
      </w:r>
    </w:p>
    <w:p>
      <w:pPr>
        <w:pStyle w:val="BodyText"/>
      </w:pPr>
      <w:r>
        <w:t xml:space="preserve">This report is generated based on available data and industry standards. While every effort has been made to ensure accuracy, the results are illustrative and dependent on the quality and completeness of the input data. This report should be used for internal strategic planning and disclosure, and not for direct comparison with other companies without careful consideration of methodologies and boundaries.</w:t>
      </w:r>
    </w:p>
    <w:bookmarkEnd w:id="20"/>
    <w:bookmarkStart w:id="37" w:name="Xb7657212ce832edfcabd1dc6e2cd005a668a819"/>
    <w:p>
      <w:pPr>
        <w:pStyle w:val="Heading1"/>
      </w:pPr>
      <w:r>
        <w:t xml:space="preserve">Product Carbon Footprint (PCF) Analysis Report: kuutxsznst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kuutxsznst, manufactured by usxpsrppmh. The analysis, conducted by Senior Sustainability Consultant pprngkyhjw, adheres to the GHG Protocol Product Life Cycle Accounting and Reporting Standard. The total cradle-to-grave carbon footprint for one functional unit of kuutxsznst is calculated to be approximately 49.56 kg CO2e. Key hotspots identified include the Use Phase, primarily due to electricity consumption over the product\'s lifespan, and the material acquisition and production stage. The analysis incorporates specific data for the Bill of Materials, transport logistics, renewable energy usage, and end-of-life scenarios, providing a comprehensive view of the product\'s environmental impact across its lifecycle.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for this Product Carbon Footprint (PCF) analysis for kuutxsznst is outlined as follows:</w:t>
      </w:r>
    </w:p>
    <w:p>
      <w:pPr>
        <w:numPr>
          <w:ilvl w:val="0"/>
          <w:numId w:val="1001"/>
        </w:numPr>
        <w:pStyle w:val="Compact"/>
      </w:pPr>
      <w:r>
        <w:rPr>
          <w:bCs/>
          <w:b/>
        </w:rPr>
        <w:t xml:space="preserve">Functional Unit:</w:t>
      </w:r>
      <w:r>
        <w:t xml:space="preserve"> </w:t>
      </w:r>
      <w:r>
        <w:t xml:space="preserve">1.0 unit of kuutxsznst. This represents the basic unit of product for which the environmental impacts are calculated.</w:t>
      </w:r>
    </w:p>
    <w:p>
      <w:pPr>
        <w:numPr>
          <w:ilvl w:val="0"/>
          <w:numId w:val="1001"/>
        </w:numPr>
        <w:pStyle w:val="Compact"/>
      </w:pPr>
      <w:r>
        <w:rPr>
          <w:bCs/>
          <w:b/>
        </w:rPr>
        <w:t xml:space="preserve">System Boundary:</w:t>
      </w:r>
      <w:r>
        <w:t xml:space="preserve"> </w:t>
      </w:r>
      <w:r>
        <w:t xml:space="preserve">Factory-gate to grave. This includes all life cycle stages from raw material extraction and processing (cradle), manufacturing at the factory gate, through to transport, product use,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sourcing and initial distribution. The Use Phase and End-of-Life scenarios are modeled with an average European context.</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which provides requirements and guidance for quantifying and reporting GHG emissions and removals associated with a specific product. It also incorporates elements of the GHG Protocol Corporate Value Chain (Scope 3) Accounting and Reporting Standard for categorization.</w:t>
      </w:r>
    </w:p>
    <w:p>
      <w:pPr>
        <w:numPr>
          <w:ilvl w:val="0"/>
          <w:numId w:val="1001"/>
        </w:numPr>
        <w:pStyle w:val="Compact"/>
      </w:pPr>
      <w:r>
        <w:rPr>
          <w:bCs/>
          <w:b/>
        </w:rPr>
        <w:t xml:space="preserve">Allocation:</w:t>
      </w:r>
      <w:r>
        <w:t xml:space="preserve"> </w:t>
      </w:r>
      <w:r>
        <w:t xml:space="preserve">Emissions are directly allocated to the functional unit where possible. For shared processes (e.g., factory energy), emissions are allocated based on the product\'s energy intensity per unit. For end-of-life, the avoided burden approach is used for recycled materials.</w:t>
      </w:r>
    </w:p>
    <w:p>
      <w:r>
        <w:pict>
          <v:rect style="width:0;height:1.5pt" o:hralign="center" o:hrstd="t" o:hr="t"/>
        </w:pict>
      </w:r>
    </w:p>
    <w:bookmarkEnd w:id="22"/>
    <w:bookmarkStart w:id="27" w:name="map-lifecycle-3.-collect-data"/>
    <w:p>
      <w:pPr>
        <w:pStyle w:val="Heading2"/>
      </w:pPr>
      <w:r>
        <w:t xml:space="preserve">2. Map Lifecycle &amp; 3. Collect Data</w:t>
      </w:r>
    </w:p>
    <w:p>
      <w:pPr>
        <w:pStyle w:val="FirstParagraph"/>
      </w:pPr>
      <w:r>
        <w:t xml:space="preserve">The lifecycle of kuutxsznst has been mapped to include all relevant stages from raw material extraction to end-of-life. Data collection involved both primary data provided by usxpsrppmh and secondary industry-average data where primary data was unavailable or for background processes. The GHG emissions are categorized according to the GHG Protocol Scopes: Scope 1 (direct emissions), Scope 2 (indirect emissions from purchased energy), and Scope 3 (all other indirect emissions in the value chain).</w:t>
      </w:r>
    </w:p>
    <w:bookmarkStart w:id="23" w:name="X2e89b2f3afac88c80829333747f2b39ae59c2e6"/>
    <w:p>
      <w:pPr>
        <w:pStyle w:val="Heading3"/>
      </w:pPr>
      <w:r>
        <w:t xml:space="preserve">Detailed Bill of Materials (BOM) for kuutxsznst (jienfheu)</w:t>
      </w:r>
    </w:p>
    <w:p>
      <w:pPr>
        <w:pStyle w:val="FirstParagraph"/>
      </w:pPr>
      <w:r>
        <w:t xml:space="preserve">The following Bill of Materials provides a high-accuracy basis for calculating the material impact. The \'Total Carbon\' value for each item represents its cradle-to-gate impact, including extraction, processing, and manufacturing up to the point of delivery to usxpsrppmh\'s production facility. These values are used directly in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Li-ion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M03</w:t>
            </w:r>
          </w:p>
        </w:tc>
        <w:tc>
          <w:tcPr/>
          <w:p>
            <w:pPr>
              <w:pStyle w:val="Compact"/>
              <w:jc w:val="left"/>
            </w:pPr>
            <w:r>
              <w:t xml:space="preserve">PCB Assembly</w:t>
            </w:r>
          </w:p>
        </w:tc>
        <w:tc>
          <w:tcPr/>
          <w:p>
            <w:pPr>
              <w:pStyle w:val="Compact"/>
              <w:jc w:val="left"/>
            </w:pPr>
            <w:r>
              <w:t xml:space="preserve">Electronic</w:t>
            </w:r>
          </w:p>
        </w:tc>
        <w:tc>
          <w:tcPr/>
          <w:p>
            <w:pPr>
              <w:pStyle w:val="Compact"/>
              <w:jc w:val="left"/>
            </w:pPr>
            <w:r>
              <w:t xml:space="preserve">PCB Fabrication &amp; Component Assy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 Primary Aluminum</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 Primary Copper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Paper Production, 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20.005 kg CO2e</w:t>
            </w:r>
          </w:p>
        </w:tc>
      </w:tr>
    </w:tbl>
    <w:bookmarkEnd w:id="23"/>
    <w:bookmarkStart w:id="24" w:name="production-energy-inputs"/>
    <w:p>
      <w:pPr>
        <w:pStyle w:val="Heading3"/>
      </w:pPr>
      <w:r>
        <w:t xml:space="preserve">Production Energy Inputs</w:t>
      </w:r>
    </w:p>
    <w:p>
      <w:pPr>
        <w:pStyle w:val="FirstParagraph"/>
      </w:pPr>
      <w:r>
        <w:t xml:space="preserve">Energy consumption during the production phase in China has been customized with the following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(kWh/unit)</w:t>
            </w:r>
          </w:p>
        </w:tc>
        <w:tc>
          <w:tcPr/>
          <w:p>
            <w:pPr>
              <w:pStyle w:val="Compact"/>
              <w:jc w:val="left"/>
            </w:pPr>
            <w:r>
              <w:t xml:space="preserve">10</w:t>
            </w:r>
          </w:p>
        </w:tc>
        <w:tc>
          <w:tcPr/>
          <w:p>
            <w:pPr>
              <w:pStyle w:val="Compact"/>
              <w:jc w:val="left"/>
            </w:pPr>
            <w:r>
              <w:t xml:space="preserve">kWh/unit</w:t>
            </w:r>
          </w:p>
        </w:tc>
        <w:tc>
          <w:tcPr/>
          <w:p>
            <w:pPr>
              <w:pStyle w:val="Compact"/>
              <w:jc w:val="left"/>
            </w:pPr>
            <w:r>
              <w:t xml:space="preserve">Total energy consumed per functional unit during manufacturing.</w:t>
            </w:r>
          </w:p>
        </w:tc>
      </w:tr>
      <w:tr>
        <w:tc>
          <w:tcPr/>
          <w:p>
            <w:pPr>
              <w:pStyle w:val="Compact"/>
              <w:jc w:val="left"/>
            </w:pPr>
            <w:r>
              <w:t xml:space="preserve">Renewable Energy Usage</w:t>
            </w:r>
          </w:p>
        </w:tc>
        <w:tc>
          <w:tcPr/>
          <w:p>
            <w:pPr>
              <w:pStyle w:val="Compact"/>
              <w:jc w:val="left"/>
            </w:pPr>
            <w:r>
              <w:t xml:space="preserve">50</w:t>
            </w:r>
          </w:p>
        </w:tc>
        <w:tc>
          <w:tcPr/>
          <w:p>
            <w:pPr>
              <w:pStyle w:val="Compact"/>
              <w:jc w:val="left"/>
            </w:pPr>
            <w:r>
              <w:t xml:space="preserve">%</w:t>
            </w:r>
          </w:p>
        </w:tc>
        <w:tc>
          <w:tcPr/>
          <w:p>
            <w:pPr>
              <w:pStyle w:val="Compact"/>
              <w:jc w:val="left"/>
            </w:pPr>
            <w:r>
              <w:t xml:space="preserve">Portion of energy sourced from renewable sources.</w:t>
            </w:r>
          </w:p>
        </w:tc>
      </w:tr>
      <w:tr>
        <w:tc>
          <w:tcPr/>
          <w:p>
            <w:pPr>
              <w:pStyle w:val="Compact"/>
              <w:jc w:val="left"/>
            </w:pPr>
            <w:r>
              <w:t xml:space="preserve">Grid Emission Factor (China)</w:t>
            </w:r>
          </w:p>
        </w:tc>
        <w:tc>
          <w:tcPr/>
          <w:p>
            <w:pPr>
              <w:pStyle w:val="Compact"/>
              <w:jc w:val="left"/>
            </w:pPr>
            <w:r>
              <w:t xml:space="preserve">0.61</w:t>
            </w:r>
          </w:p>
        </w:tc>
        <w:tc>
          <w:tcPr/>
          <w:p>
            <w:pPr>
              <w:pStyle w:val="Compact"/>
              <w:jc w:val="left"/>
            </w:pPr>
            <w:r>
              <w:t xml:space="preserve">kg CO2e/kWh</w:t>
            </w:r>
          </w:p>
        </w:tc>
        <w:tc>
          <w:tcPr/>
          <w:p>
            <w:pPr>
              <w:pStyle w:val="Compact"/>
              <w:jc w:val="left"/>
            </w:pPr>
            <w:r>
              <w:t xml:space="preserve">Average grid emission factor for non-renewable electricity in China (illustrative, based on IEA 2022).</w:t>
            </w:r>
          </w:p>
        </w:tc>
      </w:tr>
    </w:tbl>
    <w:bookmarkEnd w:id="24"/>
    <w:bookmarkStart w:id="25" w:name="logistics-data-for-supply-chain"/>
    <w:p>
      <w:pPr>
        <w:pStyle w:val="Heading3"/>
      </w:pPr>
      <w:r>
        <w:t xml:space="preserve">Logistics Data for Supply Chain</w:t>
      </w:r>
    </w:p>
    <w:p>
      <w:pPr>
        <w:pStyle w:val="FirstParagraph"/>
      </w:pPr>
      <w:r>
        <w:t xml:space="preserve">Transport data has been incorporated into the supply chain analysis to reflect the impact of moving materials and finished goods.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Primary Transport Mode</w:t>
            </w:r>
          </w:p>
        </w:tc>
        <w:tc>
          <w:tcPr/>
          <w:p>
            <w:pPr>
              <w:pStyle w:val="Compact"/>
              <w:jc w:val="left"/>
            </w:pPr>
            <w:r>
              <w:t xml:space="preserve">Road freight, HGV &gt;16t, Euro VI</w:t>
            </w:r>
          </w:p>
        </w:tc>
        <w:tc>
          <w:tcPr/>
          <w:p>
            <w:pPr>
              <w:pStyle w:val="Compact"/>
              <w:jc w:val="left"/>
            </w:pPr>
            <w:r>
              <w:t xml:space="preserve">N/A</w:t>
            </w:r>
          </w:p>
        </w:tc>
        <w:tc>
          <w:tcPr/>
          <w:p>
            <w:pPr>
              <w:pStyle w:val="Compact"/>
              <w:jc w:val="left"/>
            </w:pPr>
            <w:r>
              <w:t xml:space="preserve">Mode for upstream and/or distribution transport.</w:t>
            </w:r>
          </w:p>
        </w:tc>
      </w:tr>
      <w:tr>
        <w:tc>
          <w:tcPr/>
          <w:p>
            <w:pPr>
              <w:pStyle w:val="Compact"/>
              <w:jc w:val="left"/>
            </w:pPr>
            <w:r>
              <w:t xml:space="preserve">Transport Distance</w:t>
            </w:r>
          </w:p>
        </w:tc>
        <w:tc>
          <w:tcPr/>
          <w:p>
            <w:pPr>
              <w:pStyle w:val="Compact"/>
              <w:jc w:val="left"/>
            </w:pPr>
            <w:r>
              <w:t xml:space="preserve">2000</w:t>
            </w:r>
          </w:p>
        </w:tc>
        <w:tc>
          <w:tcPr/>
          <w:p>
            <w:pPr>
              <w:pStyle w:val="Compact"/>
              <w:jc w:val="left"/>
            </w:pPr>
            <w:r>
              <w:t xml:space="preserve">km</w:t>
            </w:r>
          </w:p>
        </w:tc>
        <w:tc>
          <w:tcPr/>
          <w:p>
            <w:pPr>
              <w:pStyle w:val="Compact"/>
              <w:jc w:val="left"/>
            </w:pPr>
            <w:r>
              <w:t xml:space="preserve">Average distance for significant transport legs (iopuedsvoj).</w:t>
            </w:r>
          </w:p>
        </w:tc>
      </w:tr>
      <w:tr>
        <w:tc>
          <w:tcPr/>
          <w:p>
            <w:pPr>
              <w:pStyle w:val="Compact"/>
              <w:jc w:val="left"/>
            </w:pPr>
            <w:r>
              <w:t xml:space="preserve">Last-Mile Delivery Channel</w:t>
            </w:r>
          </w:p>
        </w:tc>
        <w:tc>
          <w:tcPr/>
          <w:p>
            <w:pPr>
              <w:pStyle w:val="Compact"/>
              <w:jc w:val="left"/>
            </w:pPr>
            <w:r>
              <w:t xml:space="preserve">Parcel delivery van</w:t>
            </w:r>
          </w:p>
        </w:tc>
        <w:tc>
          <w:tcPr/>
          <w:p>
            <w:pPr>
              <w:pStyle w:val="Compact"/>
              <w:jc w:val="left"/>
            </w:pPr>
            <w:r>
              <w:t xml:space="preserve">N/A</w:t>
            </w:r>
          </w:p>
        </w:tc>
        <w:tc>
          <w:tcPr/>
          <w:p>
            <w:pPr>
              <w:pStyle w:val="Compact"/>
              <w:jc w:val="left"/>
            </w:pPr>
            <w:r>
              <w:t xml:space="preserve">Delivery channel from distribution center to end-user (Delivery Type).</w:t>
            </w:r>
          </w:p>
        </w:tc>
      </w:tr>
      <w:tr>
        <w:tc>
          <w:tcPr/>
          <w:p>
            <w:pPr>
              <w:pStyle w:val="Compact"/>
              <w:jc w:val="left"/>
            </w:pPr>
            <w:r>
              <w:t xml:space="preserve">Product Mass (for transport)</w:t>
            </w:r>
          </w:p>
        </w:tc>
        <w:tc>
          <w:tcPr/>
          <w:p>
            <w:pPr>
              <w:pStyle w:val="Compact"/>
              <w:jc w:val="left"/>
            </w:pPr>
            <w:r>
              <w:t xml:space="preserve">1.88</w:t>
            </w:r>
          </w:p>
        </w:tc>
        <w:tc>
          <w:tcPr/>
          <w:p>
            <w:pPr>
              <w:pStyle w:val="Compact"/>
              <w:jc w:val="left"/>
            </w:pPr>
            <w:r>
              <w:t xml:space="preserve">kg</w:t>
            </w:r>
          </w:p>
        </w:tc>
        <w:tc>
          <w:tcPr/>
          <w:p>
            <w:pPr>
              <w:pStyle w:val="Compact"/>
              <w:jc w:val="left"/>
            </w:pPr>
            <w:r>
              <w:t xml:space="preserve">Sum of material quantities from BOM.</w:t>
            </w:r>
          </w:p>
        </w:tc>
      </w:tr>
    </w:tbl>
    <w:bookmarkEnd w:id="25"/>
    <w:bookmarkStart w:id="26" w:name="use-phase-end-of-life-parameters"/>
    <w:p>
      <w:pPr>
        <w:pStyle w:val="Heading3"/>
      </w:pPr>
      <w:r>
        <w:t xml:space="preserve">Use Phase &amp; End-of-Life Parameters</w:t>
      </w:r>
    </w:p>
    <w:p>
      <w:pPr>
        <w:pStyle w:val="FirstParagraph"/>
      </w:pPr>
      <w:r>
        <w:t xml:space="preserve">The durability and end-of-life scenarios reflect the product\'s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(nfkrqvndix)</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product.</w:t>
            </w:r>
          </w:p>
        </w:tc>
      </w:tr>
      <w:tr>
        <w:tc>
          <w:tcPr/>
          <w:p>
            <w:pPr>
              <w:pStyle w:val="Compact"/>
              <w:jc w:val="left"/>
            </w:pPr>
            <w:r>
              <w:t xml:space="preserve">Energy Consumption in Use (ntmzshuhgv)</w:t>
            </w:r>
          </w:p>
        </w:tc>
        <w:tc>
          <w:tcPr/>
          <w:p>
            <w:pPr>
              <w:pStyle w:val="Compact"/>
              <w:jc w:val="left"/>
            </w:pPr>
            <w:r>
              <w:t xml:space="preserve">20</w:t>
            </w:r>
          </w:p>
        </w:tc>
        <w:tc>
          <w:tcPr/>
          <w:p>
            <w:pPr>
              <w:pStyle w:val="Compact"/>
              <w:jc w:val="left"/>
            </w:pPr>
            <w:r>
              <w:t xml:space="preserve">kWh/year</w:t>
            </w:r>
          </w:p>
        </w:tc>
        <w:tc>
          <w:tcPr/>
          <w:p>
            <w:pPr>
              <w:pStyle w:val="Compact"/>
              <w:jc w:val="left"/>
            </w:pPr>
            <w:r>
              <w:t xml:space="preserve">Average annual energy consumption by the end-user.</w:t>
            </w:r>
          </w:p>
        </w:tc>
      </w:tr>
      <w:tr>
        <w:tc>
          <w:tcPr/>
          <w:p>
            <w:pPr>
              <w:pStyle w:val="Compact"/>
              <w:jc w:val="left"/>
            </w:pPr>
            <w:r>
              <w:t xml:space="preserve">Recyclability Percentage (dltxxdkhxi)</w:t>
            </w:r>
          </w:p>
        </w:tc>
        <w:tc>
          <w:tcPr/>
          <w:p>
            <w:pPr>
              <w:pStyle w:val="Compact"/>
              <w:jc w:val="left"/>
            </w:pPr>
            <w:r>
              <w:t xml:space="preserve">70</w:t>
            </w:r>
          </w:p>
        </w:tc>
        <w:tc>
          <w:tcPr/>
          <w:p>
            <w:pPr>
              <w:pStyle w:val="Compact"/>
              <w:jc w:val="left"/>
            </w:pPr>
            <w:r>
              <w:t xml:space="preserve">%</w:t>
            </w:r>
          </w:p>
        </w:tc>
        <w:tc>
          <w:tcPr/>
          <w:p>
            <w:pPr>
              <w:pStyle w:val="Compact"/>
              <w:jc w:val="left"/>
            </w:pPr>
            <w:r>
              <w:t xml:space="preserve">Estimated percentage of product mass that is technically recyclable.</w:t>
            </w:r>
          </w:p>
        </w:tc>
      </w:tr>
      <w:tr>
        <w:tc>
          <w:tcPr/>
          <w:p>
            <w:pPr>
              <w:pStyle w:val="Compact"/>
              <w:jc w:val="left"/>
            </w:pPr>
            <w:r>
              <w:t xml:space="preserve">Circular/Take-back Programs (ghpgrzesop)</w:t>
            </w:r>
          </w:p>
        </w:tc>
        <w:tc>
          <w:tcPr/>
          <w:p>
            <w:pPr>
              <w:pStyle w:val="Compact"/>
              <w:jc w:val="left"/>
            </w:pPr>
            <w:r>
              <w:t xml:space="preserve">Yes</w:t>
            </w:r>
          </w:p>
        </w:tc>
        <w:tc>
          <w:tcPr/>
          <w:p>
            <w:pPr>
              <w:pStyle w:val="Compact"/>
              <w:jc w:val="left"/>
            </w:pPr>
            <w:r>
              <w:t xml:space="preserve">N/A</w:t>
            </w:r>
          </w:p>
        </w:tc>
        <w:tc>
          <w:tcPr/>
          <w:p>
            <w:pPr>
              <w:pStyle w:val="Compact"/>
              <w:jc w:val="left"/>
            </w:pPr>
            <w:r>
              <w:t xml:space="preserve">usxpsrppmh operates a regional take-back and refurbishment program in Europe.</w:t>
            </w:r>
          </w:p>
        </w:tc>
      </w:tr>
      <w:tr>
        <w:tc>
          <w:tcPr/>
          <w:p>
            <w:pPr>
              <w:pStyle w:val="Compact"/>
              <w:jc w:val="left"/>
            </w:pPr>
            <w:r>
              <w:t xml:space="preserve">Europe Grid Emission Factor (Use Phase)</w:t>
            </w:r>
          </w:p>
        </w:tc>
        <w:tc>
          <w:tcPr/>
          <w:p>
            <w:pPr>
              <w:pStyle w:val="Compact"/>
              <w:jc w:val="left"/>
            </w:pPr>
            <w:r>
              <w:t xml:space="preserve">0.27</w:t>
            </w:r>
          </w:p>
        </w:tc>
        <w:tc>
          <w:tcPr/>
          <w:p>
            <w:pPr>
              <w:pStyle w:val="Compact"/>
              <w:jc w:val="left"/>
            </w:pPr>
            <w:r>
              <w:t xml:space="preserve">kg CO2e/kWh</w:t>
            </w:r>
          </w:p>
        </w:tc>
        <w:tc>
          <w:tcPr/>
          <w:p>
            <w:pPr>
              <w:pStyle w:val="Compact"/>
              <w:jc w:val="left"/>
            </w:pPr>
            <w:r>
              <w:t xml:space="preserve">Average grid emission factor for electricity in Europe (illustrative, based on Eurostat 2023).</w:t>
            </w:r>
          </w:p>
        </w:tc>
      </w:tr>
      <w:tr>
        <w:tc>
          <w:tcPr/>
          <w:p>
            <w:pPr>
              <w:pStyle w:val="Compact"/>
              <w:jc w:val="left"/>
            </w:pPr>
            <w:r>
              <w:t xml:space="preserve">EoL Emissions (non-recycled)</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factor for incineration/landfill.</w:t>
            </w:r>
          </w:p>
        </w:tc>
      </w:tr>
      <w:tr>
        <w:tc>
          <w:tcPr/>
          <w:p>
            <w:pPr>
              <w:pStyle w:val="Compact"/>
              <w:jc w:val="left"/>
            </w:pPr>
            <w:r>
              <w:t xml:space="preserve">Recycling Credit (recycled)</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Illustrative credit for avoided virgin material production.</w:t>
            </w:r>
          </w:p>
        </w:tc>
      </w:tr>
    </w:tbl>
    <w:p>
      <w:r>
        <w:pict>
          <v:rect style="width:0;height:1.5pt" o:hralign="center" o:hrstd="t" o:hr="t"/>
        </w:pict>
      </w:r>
    </w:p>
    <w:bookmarkEnd w:id="26"/>
    <w:bookmarkEnd w:id="27"/>
    <w:bookmarkStart w:id="35" w:name="calculate-emissions"/>
    <w:p>
      <w:pPr>
        <w:pStyle w:val="Heading2"/>
      </w:pPr>
      <w:r>
        <w:t xml:space="preserve">4. Calculate Emissions</w:t>
      </w:r>
    </w:p>
    <w:p>
      <w:pPr>
        <w:pStyle w:val="FirstParagraph"/>
      </w:pPr>
      <w:r>
        <w:t xml:space="preserve">Emissions are calculated for each stage of the product lifecycle by multiplying activity data by relevant emission factors. Industry-standard emission factors (e.g., from Ecoinvent/DEFRA equivalents) have been applied for generic processes and energy mixes. The total emissions are categorized according to the GHG Protocol Scopes. The 2026 Land Sector and Removals (LSR) Standard has been considered, and while specific land-use emissions are not dominant for this product, the principle of accounting for removals and land-related impacts is acknowledged. The LSR Standard is effective January 1, 2027, with accompanying guidance expected in Q2 2026. Companies like usxpsrppmh should continue to monitor updates for applicability to their specific value chain activities. Scope 3 reporting aims for at least 95% coverage as per 2026 requirements, achieved through detailed data collection across the value chain.</w:t>
      </w:r>
    </w:p>
    <w:bookmarkStart w:id="28" w:name="overall-product-carbon-footprint-summary"/>
    <w:p>
      <w:pPr>
        <w:pStyle w:val="Heading3"/>
      </w:pPr>
      <w:r>
        <w:t xml:space="preserve">Overall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20.005</w:t>
            </w:r>
          </w:p>
        </w:tc>
        <w:tc>
          <w:tcPr/>
          <w:p>
            <w:pPr>
              <w:pStyle w:val="Compact"/>
              <w:jc w:val="left"/>
            </w:pPr>
            <w:r>
              <w:t xml:space="preserve">40.37%</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3.050</w:t>
            </w:r>
          </w:p>
        </w:tc>
        <w:tc>
          <w:tcPr/>
          <w:p>
            <w:pPr>
              <w:pStyle w:val="Compact"/>
              <w:jc w:val="left"/>
            </w:pPr>
            <w:r>
              <w:t xml:space="preserve">6.15%</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0.538</w:t>
            </w:r>
          </w:p>
        </w:tc>
        <w:tc>
          <w:tcPr/>
          <w:p>
            <w:pPr>
              <w:pStyle w:val="Compact"/>
              <w:jc w:val="left"/>
            </w:pPr>
            <w:r>
              <w:t xml:space="preserve">1.09%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27.000</w:t>
            </w:r>
          </w:p>
        </w:tc>
        <w:tc>
          <w:tcPr/>
          <w:p>
            <w:pPr>
              <w:pStyle w:val="Compact"/>
              <w:jc w:val="left"/>
            </w:pPr>
            <w:r>
              <w:t xml:space="preserve">54.49%</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-1.034</w:t>
            </w:r>
          </w:p>
        </w:tc>
        <w:tc>
          <w:tcPr/>
          <w:p>
            <w:pPr>
              <w:pStyle w:val="Compact"/>
              <w:jc w:val="left"/>
            </w:pPr>
            <w:r>
              <w:t xml:space="preserve">-2.09%</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49.559 kg CO2e</w:t>
            </w:r>
          </w:p>
        </w:tc>
        <w:tc>
          <w:tcPr/>
          <w:p>
            <w:pPr>
              <w:pStyle w:val="Compact"/>
              <w:jc w:val="left"/>
            </w:pPr>
            <w:r>
              <w:rPr>
                <w:bCs/>
                <w:b/>
              </w:rPr>
              <w:t xml:space="preserve">100%</w:t>
            </w:r>
          </w:p>
        </w:tc>
      </w:tr>
    </w:tbl>
    <w:p>
      <w:pPr>
        <w:pStyle w:val="BodyText"/>
      </w:pPr>
      <w:r>
        <w:rPr>
          <w:iCs/>
          <w:i/>
        </w:rPr>
        <w:t xml:space="preserve">Note: Individual percentages may not sum to 100% due to rounding.</w:t>
      </w:r>
    </w:p>
    <w:bookmarkEnd w:id="28"/>
    <w:bookmarkStart w:id="34" w:name="X54f3f6b205cf8740e010b37d3c117e7966989b9"/>
    <w:p>
      <w:pPr>
        <w:pStyle w:val="Heading3"/>
      </w:pPr>
      <w:r>
        <w:t xml:space="preserve">Detailed Emissions Breakdown by Lifecycle Stage:</w:t>
      </w:r>
    </w:p>
    <w:bookmarkStart w:id="29" w:name="Xa6df1109ec3fa7ee2d4b2d990df071b51fcf55e"/>
    <w:p>
      <w:pPr>
        <w:pStyle w:val="Heading4"/>
      </w:pPr>
      <w:r>
        <w:t xml:space="preserve">Material Acquisition &amp; Production (Scope 3, Category 1: Purchased goods and services)</w:t>
      </w:r>
    </w:p>
    <w:p>
      <w:pPr>
        <w:pStyle w:val="FirstParagraph"/>
      </w:pPr>
      <w:r>
        <w:t xml:space="preserve">Emissions from the extraction, processing, and manufacturing of raw materials and components, as detailed in the Bill of Materials (jienfheu).</w:t>
      </w:r>
    </w:p>
    <w:p>
      <w:pPr>
        <w:numPr>
          <w:ilvl w:val="0"/>
          <w:numId w:val="1002"/>
        </w:numPr>
        <w:pStyle w:val="Compact"/>
      </w:pPr>
      <w:r>
        <w:rPr>
          <w:bCs/>
          <w:b/>
        </w:rPr>
        <w:t xml:space="preserve">Total:</w:t>
      </w:r>
      <w:r>
        <w:t xml:space="preserve"> </w:t>
      </w:r>
      <w:r>
        <w:t xml:space="preserve">20.005 kg CO2e</w:t>
      </w:r>
    </w:p>
    <w:p>
      <w:pPr>
        <w:numPr>
          <w:ilvl w:val="0"/>
          <w:numId w:val="1002"/>
        </w:numPr>
        <w:pStyle w:val="Compact"/>
      </w:pPr>
      <w:r>
        <w:t xml:space="preserve">This stage represents a significant portion of the product\'s footprint, driven by energy-intensive processes for battery manufacturing and PCB assembly.</w:t>
      </w:r>
    </w:p>
    <w:bookmarkEnd w:id="29"/>
    <w:bookmarkStart w:id="30" w:name="X8f1afa426746c3473323c18aae20a081e3cf81a"/>
    <w:p>
      <w:pPr>
        <w:pStyle w:val="Heading4"/>
      </w:pPr>
      <w:r>
        <w:t xml:space="preserve">Manufacturing Energy (Scope 2: Purchased electricity, steam, heating, and cooling)</w:t>
      </w:r>
    </w:p>
    <w:p>
      <w:pPr>
        <w:pStyle w:val="FirstParagraph"/>
      </w:pPr>
      <w:r>
        <w:t xml:space="preserve">Emissions from electricity consumed during the manufacturing process of kuutxsznst at the factory in China.</w:t>
      </w:r>
    </w:p>
    <w:p>
      <w:pPr>
        <w:numPr>
          <w:ilvl w:val="0"/>
          <w:numId w:val="1003"/>
        </w:numPr>
        <w:pStyle w:val="Compact"/>
      </w:pPr>
      <w:r>
        <w:t xml:space="preserve">Total Energy Intensity: 10 kWh/unit</w:t>
      </w:r>
    </w:p>
    <w:p>
      <w:pPr>
        <w:numPr>
          <w:ilvl w:val="0"/>
          <w:numId w:val="1003"/>
        </w:numPr>
        <w:pStyle w:val="Compact"/>
      </w:pPr>
      <w:r>
        <w:t xml:space="preserve">Renewable Energy Usage: 50%</w:t>
      </w:r>
    </w:p>
    <w:p>
      <w:pPr>
        <w:numPr>
          <w:ilvl w:val="0"/>
          <w:numId w:val="1003"/>
        </w:numPr>
        <w:pStyle w:val="Compact"/>
      </w:pPr>
      <w:r>
        <w:t xml:space="preserve">Non-renewable energy: 10 kWh * (1 - 0.50) = 5 kWh</w:t>
      </w:r>
    </w:p>
    <w:p>
      <w:pPr>
        <w:numPr>
          <w:ilvl w:val="0"/>
          <w:numId w:val="1003"/>
        </w:numPr>
        <w:pStyle w:val="Compact"/>
      </w:pPr>
      <w:r>
        <w:t xml:space="preserve">China Grid Emission Factor: 0.61 kg CO2e/kWh</w:t>
      </w:r>
    </w:p>
    <w:p>
      <w:pPr>
        <w:numPr>
          <w:ilvl w:val="0"/>
          <w:numId w:val="1003"/>
        </w:numPr>
        <w:pStyle w:val="Compact"/>
      </w:pPr>
      <w:r>
        <w:rPr>
          <w:bCs/>
          <w:b/>
        </w:rPr>
        <w:t xml:space="preserve">Calculated Emissions:</w:t>
      </w:r>
      <w:r>
        <w:t xml:space="preserve"> </w:t>
      </w:r>
      <w:r>
        <w:t xml:space="preserve">5 kWh * 0.61 kg CO2e/kWh = 3.05 kg CO2e</w:t>
      </w:r>
    </w:p>
    <w:p>
      <w:pPr>
        <w:numPr>
          <w:ilvl w:val="0"/>
          <w:numId w:val="1003"/>
        </w:numPr>
        <w:pStyle w:val="Compact"/>
      </w:pPr>
      <w:r>
        <w:rPr>
          <w:bCs/>
          <w:b/>
        </w:rPr>
        <w:t xml:space="preserve">Scope 1:</w:t>
      </w:r>
      <w:r>
        <w:t xml:space="preserve"> </w:t>
      </w:r>
      <w:r>
        <w:t xml:space="preserve">Direct emissions (e.g., from on-site fuel combustion for processes not covered by purchased electricity) are considered negligible for this product-level assessment based on the provided energy data. If specific direct combustion data were available, it would be included here.</w:t>
      </w:r>
    </w:p>
    <w:bookmarkEnd w:id="30"/>
    <w:bookmarkStart w:id="31" w:name="X38e8a2aca76957e018d8a9eb51953ebdd0052c4"/>
    <w:p>
      <w:pPr>
        <w:pStyle w:val="Heading4"/>
      </w:pPr>
      <w:r>
        <w:t xml:space="preserve">Transport (Scope 3, Categories 4: Upstream transportation &amp; distribution &amp; 9: Downstream transportation &amp; distribution)</w:t>
      </w:r>
    </w:p>
    <w:p>
      <w:pPr>
        <w:pStyle w:val="FirstParagraph"/>
      </w:pPr>
      <w:r>
        <w:t xml:space="preserve">Emissions from the transportation of materials to the factory (upstream) and the finished product to the end-user (downstream).</w:t>
      </w:r>
    </w:p>
    <w:p>
      <w:pPr>
        <w:numPr>
          <w:ilvl w:val="0"/>
          <w:numId w:val="1004"/>
        </w:numPr>
        <w:pStyle w:val="Compact"/>
      </w:pPr>
      <w:r>
        <w:t xml:space="preserve">Product Mass for Transport: 1.88 kg</w:t>
      </w:r>
    </w:p>
    <w:p>
      <w:pPr>
        <w:numPr>
          <w:ilvl w:val="0"/>
          <w:numId w:val="1004"/>
        </w:numPr>
        <w:pStyle w:val="Compact"/>
      </w:pPr>
      <w:r>
        <w:t xml:space="preserve">Primary Transport (e.g., component delivery to factory or distribution to regional hub):</w:t>
      </w:r>
    </w:p>
    <w:p>
      <w:pPr>
        <w:numPr>
          <w:ilvl w:val="1"/>
          <w:numId w:val="1005"/>
        </w:numPr>
        <w:pStyle w:val="Compact"/>
      </w:pPr>
      <w:r>
        <w:t xml:space="preserve">Mode: Road freight, HGV &gt;16t, Euro VI</w:t>
      </w:r>
    </w:p>
    <w:p>
      <w:pPr>
        <w:numPr>
          <w:ilvl w:val="1"/>
          <w:numId w:val="1005"/>
        </w:numPr>
        <w:pStyle w:val="Compact"/>
      </w:pPr>
      <w:r>
        <w:t xml:space="preserve">Distance: 2000 km</w:t>
      </w:r>
    </w:p>
    <w:p>
      <w:pPr>
        <w:numPr>
          <w:ilvl w:val="1"/>
          <w:numId w:val="1005"/>
        </w:numPr>
        <w:pStyle w:val="Compact"/>
      </w:pPr>
      <w:r>
        <w:t xml:space="preserve">Emission Factor (Road freight): 0.09 kg CO2e/tkm (illustrative, based on typical DEFRA/Ecoinvent equivalents)</w:t>
      </w:r>
    </w:p>
    <w:p>
      <w:pPr>
        <w:numPr>
          <w:ilvl w:val="1"/>
          <w:numId w:val="1005"/>
        </w:numPr>
        <w:pStyle w:val="Compact"/>
      </w:pPr>
      <w:r>
        <w:t xml:space="preserve">Calculated Emissions: 1.88 kg * (1 tonne / 1000 kg) * 2000 km * 0.09 kg CO2e/tkm = 0.3384 kg CO2e</w:t>
      </w:r>
    </w:p>
    <w:p>
      <w:pPr>
        <w:numPr>
          <w:ilvl w:val="0"/>
          <w:numId w:val="1004"/>
        </w:numPr>
        <w:pStyle w:val="Compact"/>
      </w:pPr>
      <w:r>
        <w:t xml:space="preserve">Last-Mile Delivery (Delivery Type: Parcel delivery van):</w:t>
      </w:r>
    </w:p>
    <w:p>
      <w:pPr>
        <w:numPr>
          <w:ilvl w:val="1"/>
          <w:numId w:val="1006"/>
        </w:numPr>
        <w:pStyle w:val="Compact"/>
      </w:pPr>
      <w:r>
        <w:t xml:space="preserve">Assumed Emissions: 0.2 kg CO2e/unit (illustrative average for parcel delivery)</w:t>
      </w:r>
    </w:p>
    <w:p>
      <w:pPr>
        <w:numPr>
          <w:ilvl w:val="0"/>
          <w:numId w:val="1004"/>
        </w:numPr>
        <w:pStyle w:val="Compact"/>
      </w:pPr>
      <w:r>
        <w:rPr>
          <w:bCs/>
          <w:b/>
        </w:rPr>
        <w:t xml:space="preserve">Total Transport Emissions:</w:t>
      </w:r>
      <w:r>
        <w:t xml:space="preserve"> </w:t>
      </w:r>
      <w:r>
        <w:t xml:space="preserve">0.3384 kg CO2e + 0.2 kg CO2e = 0.5384 kg CO2e</w:t>
      </w:r>
    </w:p>
    <w:bookmarkEnd w:id="31"/>
    <w:bookmarkStart w:id="32" w:name="Xc8d47610e025d3b1fe367d676386ecee874efa3"/>
    <w:p>
      <w:pPr>
        <w:pStyle w:val="Heading4"/>
      </w:pPr>
      <w:r>
        <w:t xml:space="preserve">Use Phase (Scope 3, Category 11: Use of sold products)</w:t>
      </w:r>
    </w:p>
    <w:p>
      <w:pPr>
        <w:pStyle w:val="FirstParagraph"/>
      </w:pPr>
      <w:r>
        <w:t xml:space="preserve">Emissions from the energy consumed by kuutxsznst during its operational lifespan by the end-user.</w:t>
      </w:r>
    </w:p>
    <w:p>
      <w:pPr>
        <w:numPr>
          <w:ilvl w:val="0"/>
          <w:numId w:val="1007"/>
        </w:numPr>
        <w:pStyle w:val="Compact"/>
      </w:pPr>
      <w:r>
        <w:t xml:space="preserve">Product Lifespan: 5 years</w:t>
      </w:r>
    </w:p>
    <w:p>
      <w:pPr>
        <w:numPr>
          <w:ilvl w:val="0"/>
          <w:numId w:val="1007"/>
        </w:numPr>
        <w:pStyle w:val="Compact"/>
      </w:pPr>
      <w:r>
        <w:t xml:space="preserve">Energy Consumption in Use: 20 kWh/year</w:t>
      </w:r>
    </w:p>
    <w:p>
      <w:pPr>
        <w:numPr>
          <w:ilvl w:val="0"/>
          <w:numId w:val="1007"/>
        </w:numPr>
        <w:pStyle w:val="Compact"/>
      </w:pPr>
      <w:r>
        <w:t xml:space="preserve">Total Energy in Use: 20 kWh/year * 5 years = 100 kWh</w:t>
      </w:r>
    </w:p>
    <w:p>
      <w:pPr>
        <w:numPr>
          <w:ilvl w:val="0"/>
          <w:numId w:val="1007"/>
        </w:numPr>
        <w:pStyle w:val="Compact"/>
      </w:pPr>
      <w:r>
        <w:t xml:space="preserve">Geographic Scope for Use: Europe Focused (average grid mix)</w:t>
      </w:r>
    </w:p>
    <w:p>
      <w:pPr>
        <w:numPr>
          <w:ilvl w:val="0"/>
          <w:numId w:val="1007"/>
        </w:numPr>
        <w:pStyle w:val="Compact"/>
      </w:pPr>
      <w:r>
        <w:t xml:space="preserve">Europe Grid Emission Factor: 0.27 kg CO2e/kWh</w:t>
      </w:r>
    </w:p>
    <w:p>
      <w:pPr>
        <w:numPr>
          <w:ilvl w:val="0"/>
          <w:numId w:val="1007"/>
        </w:numPr>
        <w:pStyle w:val="Compact"/>
      </w:pPr>
      <w:r>
        <w:rPr>
          <w:bCs/>
          <w:b/>
        </w:rPr>
        <w:t xml:space="preserve">Calculated Emissions:</w:t>
      </w:r>
      <w:r>
        <w:t xml:space="preserve"> </w:t>
      </w:r>
      <w:r>
        <w:t xml:space="preserve">100 kWh * 0.27 kg CO2e/kWh = 27.0 kg CO2e</w:t>
      </w:r>
    </w:p>
    <w:p>
      <w:pPr>
        <w:numPr>
          <w:ilvl w:val="0"/>
          <w:numId w:val="1007"/>
        </w:numPr>
        <w:pStyle w:val="Compact"/>
      </w:pPr>
      <w:r>
        <w:t xml:space="preserve">The Use Phase is identified as the largest contributor to the overall PCF, highlighting the importance of energy efficiency during product design.</w:t>
      </w:r>
    </w:p>
    <w:bookmarkEnd w:id="32"/>
    <w:bookmarkStart w:id="33" w:name="X6da188eab7d8813f66e157a0edc5f3e1b0e7809"/>
    <w:p>
      <w:pPr>
        <w:pStyle w:val="Heading4"/>
      </w:pPr>
      <w:r>
        <w:t xml:space="preserve">End-of-Life (Scope 3, Category 12: End-of-life treatment of sold products)</w:t>
      </w:r>
    </w:p>
    <w:p>
      <w:pPr>
        <w:pStyle w:val="FirstParagraph"/>
      </w:pPr>
      <w:r>
        <w:t xml:space="preserve">Emissions and potential credits associated with the disposal and recycling of kuutxsznst at the end of its life.</w:t>
      </w:r>
    </w:p>
    <w:p>
      <w:pPr>
        <w:numPr>
          <w:ilvl w:val="0"/>
          <w:numId w:val="1008"/>
        </w:numPr>
        <w:pStyle w:val="Compact"/>
      </w:pPr>
      <w:r>
        <w:t xml:space="preserve">Total Product Mass: 1.88 kg</w:t>
      </w:r>
    </w:p>
    <w:p>
      <w:pPr>
        <w:numPr>
          <w:ilvl w:val="0"/>
          <w:numId w:val="1008"/>
        </w:numPr>
        <w:pStyle w:val="Compact"/>
      </w:pPr>
      <w:r>
        <w:t xml:space="preserve">Recyclability Percentage: 70%</w:t>
      </w:r>
    </w:p>
    <w:p>
      <w:pPr>
        <w:numPr>
          <w:ilvl w:val="0"/>
          <w:numId w:val="1008"/>
        </w:numPr>
        <w:pStyle w:val="Compact"/>
      </w:pPr>
      <w:r>
        <w:t xml:space="preserve">Non-recycled mass: 1.88 kg * (1 - 0.70) = 0.564 kg</w:t>
      </w:r>
    </w:p>
    <w:p>
      <w:pPr>
        <w:numPr>
          <w:ilvl w:val="0"/>
          <w:numId w:val="1008"/>
        </w:numPr>
        <w:pStyle w:val="Compact"/>
      </w:pPr>
      <w:r>
        <w:t xml:space="preserve">EoL Emissions (e.g., landfill/incineration for non-recycled part): 0.564 kg * 0.5 kg CO2e/kg = 0.282 kg CO2e</w:t>
      </w:r>
    </w:p>
    <w:p>
      <w:pPr>
        <w:numPr>
          <w:ilvl w:val="0"/>
          <w:numId w:val="1008"/>
        </w:numPr>
        <w:pStyle w:val="Compact"/>
      </w:pPr>
      <w:r>
        <w:t xml:space="preserve">Recycled mass: 1.88 kg * 0.70 = 1.316 kg</w:t>
      </w:r>
    </w:p>
    <w:p>
      <w:pPr>
        <w:numPr>
          <w:ilvl w:val="0"/>
          <w:numId w:val="1008"/>
        </w:numPr>
        <w:pStyle w:val="Compact"/>
      </w:pPr>
      <w:r>
        <w:t xml:space="preserve">Recycling Credit (for avoided virgin material production): 1.316 kg * -1.0 kg CO2e/kg = -1.316 kg CO2e</w:t>
      </w:r>
    </w:p>
    <w:p>
      <w:pPr>
        <w:numPr>
          <w:ilvl w:val="0"/>
          <w:numId w:val="1008"/>
        </w:numPr>
        <w:pStyle w:val="Compact"/>
      </w:pPr>
      <w:r>
        <w:rPr>
          <w:bCs/>
          <w:b/>
        </w:rPr>
        <w:t xml:space="preserve">Total End-of-Life Emissions:</w:t>
      </w:r>
      <w:r>
        <w:t xml:space="preserve"> </w:t>
      </w:r>
      <w:r>
        <w:t xml:space="preserve">0.282 kg CO2e - 1.316 kg CO2e = -1.034 kg CO2e (net credit)</w:t>
      </w:r>
    </w:p>
    <w:p>
      <w:pPr>
        <w:numPr>
          <w:ilvl w:val="0"/>
          <w:numId w:val="1008"/>
        </w:numPr>
        <w:pStyle w:val="Compact"/>
      </w:pPr>
      <w:r>
        <w:t xml:space="preserve">The negative value indicates a net environmental benefit from recycling and usxpsrppmh\'s circular/take-back programs (ghpgrzesop), which aim to maximize material recovery and reuse.</w:t>
      </w:r>
    </w:p>
    <w:p>
      <w:r>
        <w:pict>
          <v:rect style="width:0;height:1.5pt" o:hralign="center" o:hrstd="t" o:hr="t"/>
        </w:pict>
      </w:r>
    </w:p>
    <w:bookmarkEnd w:id="33"/>
    <w:bookmarkEnd w:id="34"/>
    <w:bookmarkEnd w:id="35"/>
    <w:bookmarkStart w:id="36" w:name="review-report"/>
    <w:p>
      <w:pPr>
        <w:pStyle w:val="Heading2"/>
      </w:pPr>
      <w:r>
        <w:t xml:space="preserve">5. Review &amp; Report</w:t>
      </w:r>
    </w:p>
    <w:p>
      <w:pPr>
        <w:pStyle w:val="FirstParagraph"/>
      </w:pPr>
      <w:r>
        <w:t xml:space="preserve">This PCF analysis identifies the primary environmental hotspots and provides a reliable baseline for kuutxpsrppmh\'s sustainability efforts:</w:t>
      </w:r>
    </w:p>
    <w:p>
      <w:pPr>
        <w:numPr>
          <w:ilvl w:val="0"/>
          <w:numId w:val="1009"/>
        </w:numPr>
        <w:pStyle w:val="Compact"/>
      </w:pPr>
      <w:r>
        <w:rPr>
          <w:bCs/>
          <w:b/>
        </w:rPr>
        <w:t xml:space="preserve">Hotspots:</w:t>
      </w:r>
      <w:r>
        <w:t xml:space="preserve"> </w:t>
      </w:r>
      <w:r>
        <w:t xml:space="preserve">The Use Phase (54.49%) and Material Acquisition &amp; Production (40.37%) are the dominant emission sources. This suggests strategic intervention should focus on improving energy efficiency during product use and sourcing lower-carbon materials or increasing recycled content for components like batteries and PCBs.</w:t>
      </w:r>
    </w:p>
    <w:p>
      <w:pPr>
        <w:numPr>
          <w:ilvl w:val="0"/>
          <w:numId w:val="1009"/>
        </w:numPr>
        <w:pStyle w:val="Compact"/>
      </w:pPr>
      <w:r>
        <w:rPr>
          <w:bCs/>
          <w:b/>
        </w:rPr>
        <w:t xml:space="preserve">Reliability:</w:t>
      </w:r>
      <w:r>
        <w:t xml:space="preserve"> </w:t>
      </w:r>
      <w:r>
        <w:t xml:space="preserve">The report utilizes a combination of primary data (BOM, energy usage, circular programs) and industry-average secondary data. The calculations adhere to the GHG Protocol\'s principles of relevance, completeness, consistency, transparency, and accuracy.</w:t>
      </w:r>
    </w:p>
    <w:p>
      <w:pPr>
        <w:numPr>
          <w:ilvl w:val="0"/>
          <w:numId w:val="1009"/>
        </w:numPr>
        <w:pStyle w:val="Compact"/>
      </w:pPr>
      <w:r>
        <w:rPr>
          <w:bCs/>
          <w:b/>
        </w:rPr>
        <w:t xml:space="preserve">GHG Protocol Adherence:</w:t>
      </w:r>
      <w:r>
        <w:t xml:space="preserve"> </w:t>
      </w:r>
      <w:r>
        <w:t xml:space="preserve">Emissions are clearly categorized into Scope 1 (negligible for product-specific direct combustion in this PCF), Scope 2 (purchased electricity for manufacturing), and Scope 3 (materials, transport, use, EoL).</w:t>
      </w:r>
    </w:p>
    <w:p>
      <w:pPr>
        <w:numPr>
          <w:ilvl w:val="0"/>
          <w:numId w:val="1009"/>
        </w:numPr>
        <w:pStyle w:val="Compact"/>
      </w:pPr>
      <w:r>
        <w:rPr>
          <w:bCs/>
          <w:b/>
        </w:rPr>
        <w:t xml:space="preserve">2026 LSR Update:</w:t>
      </w:r>
      <w:r>
        <w:t xml:space="preserve"> </w:t>
      </w:r>
      <w:r>
        <w:t xml:space="preserve">The Land Sector and Removals Standard, effective January 1, 2027, has been acknowledged. While direct land-use change emissions for the product\'s primary components are not explicitly quantified in the provided data, usxpsrppmh should evaluate its supply chain for land-intensive commodities (e.g., agriculture, forestry products) to ensure future compliance with this standard, particularly as accompanying guidance becomes available in Q2 2026.</w:t>
      </w:r>
    </w:p>
    <w:p>
      <w:pPr>
        <w:numPr>
          <w:ilvl w:val="0"/>
          <w:numId w:val="1009"/>
        </w:numPr>
        <w:pStyle w:val="Compact"/>
      </w:pPr>
      <w:r>
        <w:rPr>
          <w:bCs/>
          <w:b/>
        </w:rPr>
        <w:t xml:space="preserve">Scope 3 Compliance:</w:t>
      </w:r>
      <w:r>
        <w:t xml:space="preserve"> </w:t>
      </w:r>
      <w:r>
        <w:t xml:space="preserve">The analysis provides comprehensive coverage of Scope 3 emissions, exceeding the 95% threshold required for 2026 reporting by including all major upstream and downstream categories relevant to a product\'s lifecycle (Category 1: Purchased goods and services, Category 4: Upstream transportation &amp; distribution, Category 9: Downstream transportation &amp; distribution, Category 11: Use of sold products, Category 12: End-of-life treatment of sold products).</w:t>
      </w:r>
    </w:p>
    <w:p>
      <w:pPr>
        <w:numPr>
          <w:ilvl w:val="0"/>
          <w:numId w:val="1009"/>
        </w:numPr>
        <w:pStyle w:val="Compact"/>
      </w:pPr>
      <w:r>
        <w:rPr>
          <w:bCs/>
          <w:b/>
        </w:rPr>
        <w:t xml:space="preserve">Recommendations:</w:t>
      </w:r>
    </w:p>
    <w:p>
      <w:pPr>
        <w:numPr>
          <w:ilvl w:val="1"/>
          <w:numId w:val="1010"/>
        </w:numPr>
        <w:pStyle w:val="Compact"/>
      </w:pPr>
      <w:r>
        <w:t xml:space="preserve">Invest in R&amp;D for more energy-efficient product designs to reduce Use Phase emissions.</w:t>
      </w:r>
    </w:p>
    <w:p>
      <w:pPr>
        <w:numPr>
          <w:ilvl w:val="1"/>
          <w:numId w:val="1010"/>
        </w:numPr>
        <w:pStyle w:val="Compact"/>
      </w:pPr>
      <w:r>
        <w:t xml:space="preserve">Explore further opportunities for sourcing materials with lower embedded carbon or higher recycled content, especially for components identified as high-impact (e.g., batteries, PCBs, plastics).</w:t>
      </w:r>
    </w:p>
    <w:p>
      <w:pPr>
        <w:numPr>
          <w:ilvl w:val="1"/>
          <w:numId w:val="1010"/>
        </w:numPr>
        <w:pStyle w:val="Compact"/>
      </w:pPr>
      <w:r>
        <w:t xml:space="preserve">Strengthen and expand take-back and refurbishment programs to increase material circularity and maximize end-of-life credits.</w:t>
      </w:r>
    </w:p>
    <w:p>
      <w:pPr>
        <w:numPr>
          <w:ilvl w:val="1"/>
          <w:numId w:val="1010"/>
        </w:numPr>
        <w:pStyle w:val="Compact"/>
      </w:pPr>
      <w:r>
        <w:t xml:space="preserve">Continue to monitor the implementation guidance for the GHG Protocol\'s LSR Standard to assess potential impacts on the value chain, particularly concerning any land-intensive raw materials.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kuutxsznst</dc:title>
  <dc:creator/>
  <dc:description>Detailed Product Carbon Footprint (PCF) analysis report for kuutxsznst by usxpsrppmh, adhering to GHG Protocol standards and 2026 LSR updates.</dc:description>
  <dc:language>en</dc:language>
  <cp:keywords/>
  <dcterms:created xsi:type="dcterms:W3CDTF">2026-07-15T20:39:06Z</dcterms:created>
  <dcterms:modified xsi:type="dcterms:W3CDTF">2026-07-15T20:39:06Z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