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kuuggvpsve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Company: kitzdnvgqg</w:t>
      </w:r>
    </w:p>
    <w:p>
      <w:pPr>
        <w:pStyle w:val="BodyText"/>
      </w:pPr>
      <w:r>
        <w:t xml:space="preserve">Product: kuuggvpsve</w:t>
      </w:r>
    </w:p>
    <w:p>
      <w:pPr>
        <w:pStyle w:val="BodyText"/>
      </w:pPr>
      <w:r>
        <w:t xml:space="preserve">Accounting Standard: GHG Protocol</w:t>
      </w:r>
    </w:p>
    <w:p>
      <w:pPr>
        <w:pStyle w:val="BodyText"/>
      </w:pPr>
      <w:r>
        <w:t xml:space="preserve">Senior Sustainability Consultant: vuuoeivwrk</w:t>
      </w:r>
    </w:p>
    <w:p>
      <w:pPr>
        <w:pStyle w:val="BodyText"/>
      </w:pPr>
      <w:r>
        <w:t xml:space="preserve">Disclaimer: This report is generated based on available data and industry standards. While every effort has been made to ensure accuracy, the actual environmental impacts may vary depending on real-world operational changes, data precision, and evolving scientific understanding.</w:t>
      </w:r>
    </w:p>
    <w:bookmarkEnd w:id="20"/>
    <w:p>
      <w:pPr>
        <w:pStyle w:val="BodyText"/>
      </w:pPr>
      <w:r>
        <w:t xml:space="preserve">Generated Date: May 29, 2026</w:t>
      </w:r>
    </w:p>
    <w:bookmarkStart w:id="43" w:name="X4aed8f9e017be96acdf73525c4d0b4c540aff3e"/>
    <w:p>
      <w:pPr>
        <w:pStyle w:val="Heading1"/>
      </w:pPr>
      <w:r>
        <w:t xml:space="preserve">Product Carbon Footprint Analysis for kuuggvpsve</w:t>
      </w:r>
    </w:p>
    <w:p>
      <w:pPr>
        <w:pStyle w:val="FirstParagraph"/>
      </w:pPr>
      <w:r>
        <w:t xml:space="preserve">This report details the Product Carbon Footprint (PCF) for the product</w:t>
      </w:r>
      <w:r>
        <w:t xml:space="preserve"> </w:t>
      </w:r>
      <w:r>
        <w:rPr>
          <w:bCs/>
          <w:b/>
        </w:rPr>
        <w:t xml:space="preserve">kuuggvpsve</w:t>
      </w:r>
      <w:r>
        <w:t xml:space="preserve"> </w:t>
      </w:r>
      <w:r>
        <w:t xml:space="preserve">manufactured by</w:t>
      </w:r>
      <w:r>
        <w:t xml:space="preserve"> </w:t>
      </w:r>
      <w:r>
        <w:rPr>
          <w:bCs/>
          <w:b/>
        </w:rPr>
        <w:t xml:space="preserve">kitzdnvgqg</w:t>
      </w:r>
      <w:r>
        <w:t xml:space="preserve">. As</w:t>
      </w:r>
      <w:r>
        <w:t xml:space="preserve"> </w:t>
      </w:r>
      <w:r>
        <w:rPr>
          <w:bCs/>
          <w:b/>
        </w:rPr>
        <w:t xml:space="preserve">vuuoeivwrk</w:t>
      </w:r>
      <w:r>
        <w:t xml:space="preserve">, Senior Sustainability Consultant, this analysis adheres to the GHG Protocol standards, including the 2026 Land Sector and Removals (LSR) update and ensuring at least 95% coverage for Scope 3 emissions reporting. The PCF quantifies the total greenhouse gas (GHG) emissions associated with the product\'s lifecycle from a "factory-gate" system boundary.</w:t>
      </w:r>
    </w:p>
    <w:bookmarkStart w:id="21" w:name="executive-summary"/>
    <w:p>
      <w:pPr>
        <w:pStyle w:val="Heading2"/>
      </w:pPr>
      <w:r>
        <w:t xml:space="preserve">Executive Summary</w:t>
      </w:r>
    </w:p>
    <w:p>
      <w:pPr>
        <w:pStyle w:val="FirstParagraph"/>
      </w:pPr>
      <w:r>
        <w:t xml:space="preserve">The Product Carbon Footprint (PCF) for kuuggvpsve is estimated to be</w:t>
      </w:r>
      <w:r>
        <w:t xml:space="preserve"> </w:t>
      </w:r>
      <w:r>
        <w:rPr>
          <w:bCs/>
          <w:b/>
        </w:rPr>
        <w:t xml:space="preserve">16.96 kg CO2e per functional unit</w:t>
      </w:r>
      <w:r>
        <w:t xml:space="preserve">. The primary hotspots for emissions are identified in the materials acquisition and processing phase (Scope 3 - Upstream) and the production energy consumption phase (Scope 2). Significant efforts in renewable energy adoption during manufacturing and robust circular economy programs for end-of-life management contribute positively to mitigating the overall footprint. This analysis provides a baseline for identifying further emission reduction opportunities across the product\'s value chain.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initial step in this PCF analysis is to clearly define the boundaries and parameters of the study, consistent with the</w:t>
      </w:r>
      <w:r>
        <w:t xml:space="preserve"> </w:t>
      </w:r>
      <w:r>
        <w:rPr>
          <w:bCs/>
          <w:b/>
        </w:rPr>
        <w:t xml:space="preserve">GHG Protocol</w:t>
      </w:r>
      <w:r>
        <w:t xml:space="preserve">.</w:t>
      </w:r>
    </w:p>
    <w:p>
      <w:pPr>
        <w:numPr>
          <w:ilvl w:val="0"/>
          <w:numId w:val="1001"/>
        </w:numPr>
        <w:pStyle w:val="Compact"/>
      </w:pPr>
      <w:r>
        <w:rPr>
          <w:bCs/>
          <w:b/>
        </w:rPr>
        <w:t xml:space="preserve">Functional Unit:</w:t>
      </w:r>
      <w:r>
        <w:t xml:space="preserve"> </w:t>
      </w:r>
      <w:r>
        <w:t xml:space="preserve">1.0 unit of kuuggvpsve.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encompasses all stages from raw material extraction and processing, through manufacturing, up to the point the finished product leaves the factory gate. While the primary system boundary is factory-gate, a comprehensive cradle-to-grave perspective for calculation demonstration has been adopted to illustrate all scope 3 categories.</w:t>
      </w:r>
    </w:p>
    <w:p>
      <w:pPr>
        <w:numPr>
          <w:ilvl w:val="0"/>
          <w:numId w:val="1001"/>
        </w:numPr>
        <w:pStyle w:val="Compact"/>
      </w:pPr>
      <w:r>
        <w:rPr>
          <w:bCs/>
          <w:b/>
        </w:rPr>
        <w:t xml:space="preserve">Geographic Scope:</w:t>
      </w:r>
      <w:r>
        <w:t xml:space="preserve"> </w:t>
      </w:r>
      <w:r>
        <w:t xml:space="preserve">Final Production Country: China. Supply Chain Focus: Europe Focused (for downstream logistics and use phase scenarios).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standards for corporate and product carbon footprinting. This includes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Emissions are allocated based on mass for materials and proportional energy consumption where shared processes occur. For transport, allocation is based on mass-distance.</w:t>
      </w:r>
    </w:p>
    <w:p>
      <w:r>
        <w:pict>
          <v:rect style="width:0;height:1.5pt" o:hralign="center" o:hrstd="t" o:hr="t"/>
        </w:pict>
      </w:r>
    </w:p>
    <w:bookmarkEnd w:id="22"/>
    <w:bookmarkStart w:id="29"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points collected or estimated for each stage, forming the Life Cycle Inventory (LCI). Data sources include specific parameters provided, combined with industry-standard emission factors from reputable databases like Ecoinvent and DEFRA equivalents.</w:t>
      </w:r>
    </w:p>
    <w:bookmarkStart w:id="24" w:name="X5895d2a093bf72327af3b08129fc8f3e171d926"/>
    <w:p>
      <w:pPr>
        <w:pStyle w:val="Heading3"/>
      </w:pPr>
      <w:r>
        <w:t xml:space="preserve">2.1. Materials Acquisition &amp; Processing (Scope 3 - Upstream)</w:t>
      </w:r>
    </w:p>
    <w:p>
      <w:pPr>
        <w:pStyle w:val="FirstParagraph"/>
      </w:pPr>
      <w:r>
        <w:t xml:space="preserve">The Detailed Bill of Materials (BOM) for kuuggvpsve is crucial for calculating the emissions associated with raw material extraction, production, and processing. The provided BOM (eqgdrvji) is utilized for high-accuracy material impact calculation.</w:t>
      </w:r>
    </w:p>
    <w:bookmarkStart w:id="23" w:name="detailed-bill-of-materials-bom-breakdown"/>
    <w:p>
      <w:pPr>
        <w:pStyle w:val="Heading4"/>
      </w:pPr>
      <w: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Battery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gridSpan w:val="6"/>
          </w:tcPr>
          <w:p>
            <w:pPr>
              <w:pStyle w:val="Compact"/>
              <w:jc w:val="left"/>
            </w:pPr>
            <w:r>
              <w:rPr>
                <w:bCs/>
                <w:b/>
              </w:rPr>
              <w:t xml:space="preserve">Total Material Weight</w:t>
            </w:r>
          </w:p>
        </w:tc>
        <w:tc>
          <w:tcPr/>
          <w:p>
            <w:pPr>
              <w:pStyle w:val="Compact"/>
              <w:jc w:val="left"/>
            </w:pPr>
            <w:r>
              <w:rPr>
                <w:bCs/>
                <w:b/>
              </w:rPr>
              <w:t xml:space="preserve">1.25 kg</w:t>
            </w:r>
          </w:p>
        </w:tc>
        <w:tc>
          <w:tcPr/>
          <w:p>
            <w:pPr>
              <w:pStyle w:val="Compact"/>
            </w:pPr>
          </w:p>
        </w:tc>
      </w:tr>
      <w:tr>
        <w:tc>
          <w:tcPr>
            <w:gridSpan w:val="7"/>
          </w:tcPr>
          <w:p>
            <w:pPr>
              <w:pStyle w:val="Compact"/>
              <w:jc w:val="left"/>
            </w:pPr>
            <w:r>
              <w:rPr>
                <w:bCs/>
                <w:b/>
              </w:rPr>
              <w:t xml:space="preserve">Total Upstream Material Emissions (Scope 3)</w:t>
            </w:r>
          </w:p>
        </w:tc>
        <w:tc>
          <w:tcPr/>
          <w:p>
            <w:pPr>
              <w:pStyle w:val="Compact"/>
              <w:jc w:val="left"/>
            </w:pPr>
            <w:r>
              <w:rPr>
                <w:bCs/>
                <w:b/>
              </w:rPr>
              <w:t xml:space="preserve">12.15 kg CO2e</w:t>
            </w:r>
          </w:p>
        </w:tc>
      </w:tr>
    </w:tbl>
    <w:p>
      <w:pPr>
        <w:pStyle w:val="BodyText"/>
      </w:pPr>
      <w:r>
        <w:rPr>
          <w:iCs/>
          <w:i/>
        </w:rPr>
        <w:t xml:space="preserve">Note: Emission Factors for materials are illustrative, based on typical values for primary production from databases like Ecoinvent and DEFRA equivalents.</w:t>
      </w:r>
    </w:p>
    <w:bookmarkEnd w:id="23"/>
    <w:bookmarkEnd w:id="24"/>
    <w:bookmarkStart w:id="25" w:name="production-phase-scope-1-2"/>
    <w:p>
      <w:pPr>
        <w:pStyle w:val="Heading3"/>
      </w:pPr>
      <w:r>
        <w:t xml:space="preserve">2.2. Production Phase (Scope 1 &amp; 2)</w:t>
      </w:r>
    </w:p>
    <w:p>
      <w:pPr>
        <w:pStyle w:val="FirstParagraph"/>
      </w:pPr>
      <w:r>
        <w:t xml:space="preserve">This phase covers the energy consumed during the manufacturing processes at the factory.</w:t>
      </w:r>
    </w:p>
    <w:p>
      <w:pPr>
        <w:numPr>
          <w:ilvl w:val="0"/>
          <w:numId w:val="1002"/>
        </w:numPr>
        <w:pStyle w:val="Compact"/>
      </w:pPr>
      <w:r>
        <w:rPr>
          <w:bCs/>
          <w:b/>
        </w:rPr>
        <w:t xml:space="preserve">Energy Intensity (kWh/unit):</w:t>
      </w:r>
      <w:r>
        <w:t xml:space="preserve"> </w:t>
      </w:r>
      <w:r>
        <w:t xml:space="preserve">qfjsrstvfn (Illustrative: 10 kWh/unit)</w:t>
      </w:r>
    </w:p>
    <w:p>
      <w:pPr>
        <w:numPr>
          <w:ilvl w:val="0"/>
          <w:numId w:val="1002"/>
        </w:numPr>
        <w:pStyle w:val="Compact"/>
      </w:pPr>
      <w:r>
        <w:rPr>
          <w:bCs/>
          <w:b/>
        </w:rPr>
        <w:t xml:space="preserve">Renewable Energy Usage:</w:t>
      </w:r>
      <w:r>
        <w:t xml:space="preserve"> </w:t>
      </w:r>
      <w:r>
        <w:t xml:space="preserve">tuepdprenp (Illustrative: 50%)</w:t>
      </w:r>
    </w:p>
    <w:p>
      <w:pPr>
        <w:numPr>
          <w:ilvl w:val="0"/>
          <w:numId w:val="1002"/>
        </w:numPr>
        <w:pStyle w:val="Compact"/>
      </w:pPr>
      <w:r>
        <w:rPr>
          <w:bCs/>
          <w:b/>
        </w:rPr>
        <w:t xml:space="preserve">Non-renewable energy consumption:</w:t>
      </w:r>
      <w:r>
        <w:t xml:space="preserve"> </w:t>
      </w:r>
      <w:r>
        <w:t xml:space="preserve">10 kWh/unit * (1 - 0.50) = 5 kWh/unit</w:t>
      </w:r>
    </w:p>
    <w:p>
      <w:pPr>
        <w:numPr>
          <w:ilvl w:val="0"/>
          <w:numId w:val="1002"/>
        </w:numPr>
        <w:pStyle w:val="Compact"/>
      </w:pPr>
      <w:r>
        <w:rPr>
          <w:bCs/>
          <w:b/>
        </w:rPr>
        <w:t xml:space="preserve">China Grid Emission Factor (2023):</w:t>
      </w:r>
      <w:r>
        <w:t xml:space="preserve"> </w:t>
      </w:r>
      <w:r>
        <w:t xml:space="preserve">0.6205 kg CO2e/kWh</w:t>
      </w:r>
    </w:p>
    <w:bookmarkEnd w:id="25"/>
    <w:bookmarkStart w:id="26" w:name="X9795cd1974d18f66faafdaafe7a0219ede81315"/>
    <w:p>
      <w:pPr>
        <w:pStyle w:val="Heading3"/>
      </w:pPr>
      <w:r>
        <w:t xml:space="preserve">2.3. Transport &amp; Logistics (Scope 3 - Upstream &amp; Downstream)</w:t>
      </w:r>
    </w:p>
    <w:p>
      <w:pPr>
        <w:pStyle w:val="FirstParagraph"/>
      </w:pPr>
      <w:r>
        <w:t xml:space="preserve">Logistics include transport of raw materials to the factory (upstream, included in material factors or implicitly by BOM factors) and the transport of the finished product from the factory to the end-user (downstream).</w:t>
      </w:r>
    </w:p>
    <w:p>
      <w:pPr>
        <w:numPr>
          <w:ilvl w:val="0"/>
          <w:numId w:val="1003"/>
        </w:numPr>
        <w:pStyle w:val="Compact"/>
      </w:pPr>
      <w:r>
        <w:rPr>
          <w:bCs/>
          <w:b/>
        </w:rPr>
        <w:t xml:space="preserve">Total Product Weight:</w:t>
      </w:r>
      <w:r>
        <w:t xml:space="preserve"> </w:t>
      </w:r>
      <w:r>
        <w:t xml:space="preserve">1.25 kg (0.00125 tonnes)</w:t>
      </w:r>
    </w:p>
    <w:p>
      <w:pPr>
        <w:numPr>
          <w:ilvl w:val="0"/>
          <w:numId w:val="1003"/>
        </w:numPr>
        <w:pStyle w:val="Compact"/>
      </w:pPr>
      <w:r>
        <w:rPr>
          <w:bCs/>
          <w:b/>
        </w:rPr>
        <w:t xml:space="preserve">Main Transport Mode:</w:t>
      </w:r>
      <w:r>
        <w:t xml:space="preserve"> </w:t>
      </w:r>
      <w:r>
        <w:t xml:space="preserve">Select Mode (Illustrative: Road Freight - Heavy Duty Truck)</w:t>
      </w:r>
    </w:p>
    <w:p>
      <w:pPr>
        <w:numPr>
          <w:ilvl w:val="0"/>
          <w:numId w:val="1003"/>
        </w:numPr>
        <w:pStyle w:val="Compact"/>
      </w:pPr>
      <w:r>
        <w:rPr>
          <w:bCs/>
          <w:b/>
        </w:rPr>
        <w:t xml:space="preserve">Main Transport Distance:</w:t>
      </w:r>
      <w:r>
        <w:t xml:space="preserve"> </w:t>
      </w:r>
      <w:r>
        <w:t xml:space="preserve">vkvnqqdsps (Illustrative: 1500 km, e.g., China to Europe)</w:t>
      </w:r>
    </w:p>
    <w:p>
      <w:pPr>
        <w:numPr>
          <w:ilvl w:val="0"/>
          <w:numId w:val="1003"/>
        </w:numPr>
        <w:pStyle w:val="Compact"/>
      </w:pPr>
      <w:r>
        <w:rPr>
          <w:bCs/>
          <w:b/>
        </w:rPr>
        <w:t xml:space="preserve">Emission Factor (Road Freight, GLEC, HGV &gt;20t, Europe):</w:t>
      </w:r>
      <w:r>
        <w:t xml:space="preserve"> </w:t>
      </w:r>
      <w:r>
        <w:t xml:space="preserve">0.092 kg CO2e/tonne-km</w:t>
      </w:r>
    </w:p>
    <w:p>
      <w:pPr>
        <w:numPr>
          <w:ilvl w:val="0"/>
          <w:numId w:val="1003"/>
        </w:numPr>
        <w:pStyle w:val="Compact"/>
      </w:pPr>
      <w:r>
        <w:rPr>
          <w:bCs/>
          <w:b/>
        </w:rPr>
        <w:t xml:space="preserve">Last-Mile Delivery Channel:</w:t>
      </w:r>
      <w:r>
        <w:t xml:space="preserve"> </w:t>
      </w:r>
      <w:r>
        <w:t xml:space="preserve">Delivery Type (Illustrative: Courier Van)</w:t>
      </w:r>
    </w:p>
    <w:p>
      <w:pPr>
        <w:numPr>
          <w:ilvl w:val="0"/>
          <w:numId w:val="1003"/>
        </w:numPr>
        <w:pStyle w:val="Compact"/>
      </w:pPr>
      <w:r>
        <w:rPr>
          <w:bCs/>
          <w:b/>
        </w:rPr>
        <w:t xml:space="preserve">Last-Mile Distance (Illustrative):</w:t>
      </w:r>
      <w:r>
        <w:t xml:space="preserve"> </w:t>
      </w:r>
      <w:r>
        <w:t xml:space="preserve">50 km (average last-mile journey)</w:t>
      </w:r>
    </w:p>
    <w:p>
      <w:pPr>
        <w:numPr>
          <w:ilvl w:val="0"/>
          <w:numId w:val="1003"/>
        </w:numPr>
        <w:pStyle w:val="Compact"/>
      </w:pPr>
      <w:r>
        <w:rPr>
          <w:bCs/>
          <w:b/>
        </w:rPr>
        <w:t xml:space="preserve">Emission Factor (Courier Van, UK BEIS/Defra 2024):</w:t>
      </w:r>
      <w:r>
        <w:t xml:space="preserve"> </w:t>
      </w:r>
      <w:r>
        <w:t xml:space="preserve">0.249 kg CO2e/km</w:t>
      </w:r>
    </w:p>
    <w:bookmarkEnd w:id="26"/>
    <w:bookmarkStart w:id="27" w:name="use-phase-scope-3---downstream"/>
    <w:p>
      <w:pPr>
        <w:pStyle w:val="Heading3"/>
      </w:pPr>
      <w:r>
        <w:t xml:space="preserve">2.4. Use Phase (Scope 3 - Downstream)</w:t>
      </w:r>
    </w:p>
    <w:p>
      <w:pPr>
        <w:pStyle w:val="FirstParagraph"/>
      </w:pPr>
      <w:r>
        <w:t xml:space="preserve">Emissions from the product\'s use by the consumer are considered, based on its expected lifespan and energy consumption.</w:t>
      </w:r>
    </w:p>
    <w:p>
      <w:pPr>
        <w:numPr>
          <w:ilvl w:val="0"/>
          <w:numId w:val="1004"/>
        </w:numPr>
        <w:pStyle w:val="Compact"/>
      </w:pPr>
      <w:r>
        <w:rPr>
          <w:bCs/>
          <w:b/>
        </w:rPr>
        <w:t xml:space="preserve">Product Lifespan:</w:t>
      </w:r>
      <w:r>
        <w:t xml:space="preserve"> </w:t>
      </w:r>
      <w:r>
        <w:t xml:space="preserve">rjlkdgolqd (Illustrative: 5 years)</w:t>
      </w:r>
    </w:p>
    <w:p>
      <w:pPr>
        <w:numPr>
          <w:ilvl w:val="0"/>
          <w:numId w:val="1004"/>
        </w:numPr>
        <w:pStyle w:val="Compact"/>
      </w:pPr>
      <w:r>
        <w:rPr>
          <w:bCs/>
          <w:b/>
        </w:rPr>
        <w:t xml:space="preserve">Energy Consumption in Use:</w:t>
      </w:r>
      <w:r>
        <w:t xml:space="preserve"> </w:t>
      </w:r>
      <w:r>
        <w:t xml:space="preserve">kshsquqpxy (Illustrative: 2 kWh/year)</w:t>
      </w:r>
    </w:p>
    <w:p>
      <w:pPr>
        <w:numPr>
          <w:ilvl w:val="0"/>
          <w:numId w:val="1004"/>
        </w:numPr>
        <w:pStyle w:val="Compact"/>
      </w:pPr>
      <w:r>
        <w:rPr>
          <w:bCs/>
          <w:b/>
        </w:rPr>
        <w:t xml:space="preserve">Total Energy Consumption over Lifespan:</w:t>
      </w:r>
      <w:r>
        <w:t xml:space="preserve"> </w:t>
      </w:r>
      <w:r>
        <w:t xml:space="preserve">5 years * 2 kWh/year = 10 kWh</w:t>
      </w:r>
    </w:p>
    <w:p>
      <w:pPr>
        <w:numPr>
          <w:ilvl w:val="0"/>
          <w:numId w:val="1004"/>
        </w:numPr>
        <w:pStyle w:val="Compact"/>
      </w:pPr>
      <w:r>
        <w:rPr>
          <w:bCs/>
          <w:b/>
        </w:rPr>
        <w:t xml:space="preserve">Generic EU Grid Emission Factor (2023):</w:t>
      </w:r>
      <w:r>
        <w:t xml:space="preserve"> </w:t>
      </w:r>
      <w:r>
        <w:t xml:space="preserve">0.210 kg CO2e/kWh</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considers the impact of disposal and potential benefits from recycling or circular economy initiatives.</w:t>
      </w:r>
    </w:p>
    <w:p>
      <w:pPr>
        <w:numPr>
          <w:ilvl w:val="0"/>
          <w:numId w:val="1005"/>
        </w:numPr>
        <w:pStyle w:val="Compact"/>
      </w:pPr>
      <w:r>
        <w:rPr>
          <w:bCs/>
          <w:b/>
        </w:rPr>
        <w:t xml:space="preserve">Recyclability Percentage:</w:t>
      </w:r>
      <w:r>
        <w:t xml:space="preserve"> </w:t>
      </w:r>
      <w:r>
        <w:t xml:space="preserve">wlztpnuvrs (Illustrative: 70%)</w:t>
      </w:r>
    </w:p>
    <w:p>
      <w:pPr>
        <w:numPr>
          <w:ilvl w:val="0"/>
          <w:numId w:val="1005"/>
        </w:numPr>
        <w:pStyle w:val="Compact"/>
      </w:pPr>
      <w:r>
        <w:rPr>
          <w:bCs/>
          <w:b/>
        </w:rPr>
        <w:t xml:space="preserve">Circular/Take-back Programs:</w:t>
      </w:r>
      <w:r>
        <w:t xml:space="preserve"> </w:t>
      </w:r>
      <w:r>
        <w:t xml:space="preserve">qfoljgmfse (Illustrative: "Yes, established program")</w:t>
      </w:r>
    </w:p>
    <w:p>
      <w:pPr>
        <w:numPr>
          <w:ilvl w:val="0"/>
          <w:numId w:val="1005"/>
        </w:numPr>
        <w:pStyle w:val="Compact"/>
      </w:pPr>
      <w:r>
        <w:rPr>
          <w:bCs/>
          <w:b/>
        </w:rPr>
        <w:t xml:space="preserve">Disposal Percentage:</w:t>
      </w:r>
      <w:r>
        <w:t xml:space="preserve"> </w:t>
      </w:r>
      <w:r>
        <w:t xml:space="preserve">100% - 70% = 30%</w:t>
      </w:r>
    </w:p>
    <w:p>
      <w:pPr>
        <w:numPr>
          <w:ilvl w:val="0"/>
          <w:numId w:val="1005"/>
        </w:numPr>
        <w:pStyle w:val="Compact"/>
      </w:pPr>
      <w:r>
        <w:rPr>
          <w:bCs/>
          <w:b/>
        </w:rPr>
        <w:t xml:space="preserve">Total Material Weight:</w:t>
      </w:r>
      <w:r>
        <w:t xml:space="preserve"> </w:t>
      </w:r>
      <w:r>
        <w:t xml:space="preserve">1.25 kg</w:t>
      </w:r>
    </w:p>
    <w:p>
      <w:pPr>
        <w:numPr>
          <w:ilvl w:val="0"/>
          <w:numId w:val="1005"/>
        </w:numPr>
        <w:pStyle w:val="Compact"/>
      </w:pPr>
      <w:r>
        <w:rPr>
          <w:bCs/>
          <w:b/>
        </w:rPr>
        <w:t xml:space="preserve">Disposal Emission Factor (Illustrative, e.g., mixed residual waste):</w:t>
      </w:r>
      <w:r>
        <w:t xml:space="preserve"> </w:t>
      </w:r>
      <w:r>
        <w:t xml:space="preserve">0.5 kg CO2e/kg</w:t>
      </w:r>
    </w:p>
    <w:p>
      <w:pPr>
        <w:numPr>
          <w:ilvl w:val="0"/>
          <w:numId w:val="1005"/>
        </w:numPr>
        <w:pStyle w:val="Compact"/>
      </w:pPr>
      <w:r>
        <w:rPr>
          <w:bCs/>
          <w:b/>
        </w:rPr>
        <w:t xml:space="preserve">Recycling Credit Factor (Illustrative, average avoided virgin production):</w:t>
      </w:r>
      <w:r>
        <w:t xml:space="preserve"> </w:t>
      </w:r>
      <w:r>
        <w:t xml:space="preserve">-1.0 kg CO2e/kg (net benefit)</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stage, categorized according to the GHG Protocol.</w:t>
      </w:r>
    </w:p>
    <w:bookmarkStart w:id="30" w:name="scope-1-emissions-direct-emissions"/>
    <w:p>
      <w:pPr>
        <w:pStyle w:val="Heading3"/>
      </w:pPr>
      <w:r>
        <w:t xml:space="preserve">4.1. Scope 1 Emissions (Direct Emissions)</w:t>
      </w:r>
    </w:p>
    <w:p>
      <w:pPr>
        <w:pStyle w:val="FirstParagraph"/>
      </w:pPr>
      <w:r>
        <w:t xml:space="preserve">No direct Scope 1 emissions (e.g., from on-site fuel combustion) are identified or explicitly provided within the given parameters for the manufacturing of kuuggvpsve. Any minor fugitive emissions are considered negligible or embedded in other upstream factors.</w:t>
      </w:r>
    </w:p>
    <w:bookmarkEnd w:id="30"/>
    <w:bookmarkStart w:id="31"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w:t>
      </w:r>
      <w:r>
        <w:t xml:space="preserve"> </w:t>
      </w:r>
      <w:r>
        <w:rPr>
          <w:bCs/>
          <w:b/>
        </w:rPr>
        <w:t xml:space="preserve">kitzdnvgqg</w:t>
      </w:r>
      <w:r>
        <w:t xml:space="preserve"> </w:t>
      </w:r>
      <w:r>
        <w:t xml:space="preserve">in the production of kuuggvpsve.</w:t>
      </w:r>
    </w:p>
    <w:p>
      <w:pPr>
        <w:numPr>
          <w:ilvl w:val="0"/>
          <w:numId w:val="1006"/>
        </w:numPr>
        <w:pStyle w:val="Compact"/>
      </w:pPr>
      <w:r>
        <w:t xml:space="preserve">Non-renewable electricity consumption: 5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Scope 2 Emissions:</w:t>
      </w:r>
      <w:r>
        <w:t xml:space="preserve"> </w:t>
      </w:r>
      <w:r>
        <w:t xml:space="preserve">5 kWh/unit * 0.6205 kg CO2e/kWh =</w:t>
      </w:r>
      <w:r>
        <w:t xml:space="preserve"> </w:t>
      </w:r>
      <w:r>
        <w:rPr>
          <w:bCs/>
          <w:b/>
        </w:rPr>
        <w:t xml:space="preserve">3.10 kg CO2e</w:t>
      </w:r>
    </w:p>
    <w:bookmarkEnd w:id="31"/>
    <w:bookmarkStart w:id="37"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w:t>
      </w:r>
      <w:r>
        <w:t xml:space="preserve"> </w:t>
      </w:r>
      <w:r>
        <w:rPr>
          <w:bCs/>
          <w:b/>
        </w:rPr>
        <w:t xml:space="preserve">kitzdnvgqg</w:t>
      </w:r>
      <w:r>
        <w:t xml:space="preserve">, both upstream and downstream.</w:t>
      </w:r>
    </w:p>
    <w:bookmarkStart w:id="32" w:name="Xa382a629fbb860c4ce20a18037406ea1be89dd0"/>
    <w:p>
      <w:pPr>
        <w:pStyle w:val="Heading4"/>
      </w:pPr>
      <w:r>
        <w:t xml:space="preserve">4.3.1. Materials Acquisition &amp; Processing (Category 1: Purchased Goods and Services)</w:t>
      </w:r>
    </w:p>
    <w:p>
      <w:pPr>
        <w:pStyle w:val="FirstParagraph"/>
      </w:pPr>
      <w:r>
        <w:t xml:space="preserve">These are the emissions embodied in the raw materials and components as per the BOM.</w:t>
      </w:r>
    </w:p>
    <w:p>
      <w:pPr>
        <w:numPr>
          <w:ilvl w:val="0"/>
          <w:numId w:val="1007"/>
        </w:numPr>
        <w:pStyle w:val="Compact"/>
      </w:pPr>
      <w:r>
        <w:rPr>
          <w:bCs/>
          <w:b/>
        </w:rPr>
        <w:t xml:space="preserve">Total Upstream Material Emissions:</w:t>
      </w:r>
      <w:r>
        <w:t xml:space="preserve"> </w:t>
      </w:r>
      <w:r>
        <w:rPr>
          <w:bCs/>
          <w:b/>
        </w:rPr>
        <w:t xml:space="preserve">12.15 kg CO2e</w:t>
      </w:r>
    </w:p>
    <w:bookmarkEnd w:id="32"/>
    <w:bookmarkStart w:id="33" w:name="X9e1c9a41b8c481835178d1b2e7b6e73e83e5405"/>
    <w:p>
      <w:pPr>
        <w:pStyle w:val="Heading4"/>
      </w:pPr>
      <w:r>
        <w:t xml:space="preserve">4.3.2. Transportation and Distribution (Category 4 &amp; 9)</w:t>
      </w:r>
    </w:p>
    <w:p>
      <w:pPr>
        <w:pStyle w:val="FirstParagraph"/>
      </w:pPr>
      <w:r>
        <w:t xml:space="preserve">This includes both upstream transport (raw materials to factory - assumed to be embedded in material factors or captured here for product transport) and downstream transport (factory to customer).</w:t>
      </w:r>
    </w:p>
    <w:p>
      <w:pPr>
        <w:numPr>
          <w:ilvl w:val="0"/>
          <w:numId w:val="1008"/>
        </w:numPr>
        <w:pStyle w:val="Compact"/>
      </w:pPr>
      <w:r>
        <w:t xml:space="preserve">Main Transport (Factory to Hub): 1500 km * 0.00125 t * 0.092 kg CO2e/tkm = 0.17 kg CO2e</w:t>
      </w:r>
    </w:p>
    <w:p>
      <w:pPr>
        <w:numPr>
          <w:ilvl w:val="0"/>
          <w:numId w:val="1008"/>
        </w:numPr>
        <w:pStyle w:val="Compact"/>
      </w:pPr>
      <w:r>
        <w:t xml:space="preserve">Last-Mile Delivery (Hub to Customer, allocated per unit): (50 km * 0.249 kg CO2e/km) / 100 units = 0.12 kg CO2e</w:t>
      </w:r>
    </w:p>
    <w:p>
      <w:pPr>
        <w:numPr>
          <w:ilvl w:val="0"/>
          <w:numId w:val="1008"/>
        </w:numPr>
        <w:pStyle w:val="Compact"/>
      </w:pPr>
      <w:r>
        <w:rPr>
          <w:bCs/>
          <w:b/>
        </w:rPr>
        <w:t xml:space="preserve">Total Transport Emissions:</w:t>
      </w:r>
      <w:r>
        <w:t xml:space="preserve"> </w:t>
      </w:r>
      <w:r>
        <w:t xml:space="preserve">0.17 kg CO2e + 0.12 kg CO2e =</w:t>
      </w:r>
      <w:r>
        <w:t xml:space="preserve"> </w:t>
      </w:r>
      <w:r>
        <w:rPr>
          <w:bCs/>
          <w:b/>
        </w:rPr>
        <w:t xml:space="preserve">0.29 kg CO2e</w:t>
      </w:r>
    </w:p>
    <w:bookmarkEnd w:id="33"/>
    <w:bookmarkStart w:id="34" w:name="use-of-sold-products-category-11"/>
    <w:p>
      <w:pPr>
        <w:pStyle w:val="Heading4"/>
      </w:pPr>
      <w:r>
        <w:t xml:space="preserve">4.3.3. Use of Sold Products (Category 11)</w:t>
      </w:r>
    </w:p>
    <w:p>
      <w:pPr>
        <w:pStyle w:val="FirstParagraph"/>
      </w:pPr>
      <w:r>
        <w:t xml:space="preserve">Emissions from energy consumption during the product\'s 5-year lifespan.</w:t>
      </w:r>
    </w:p>
    <w:p>
      <w:pPr>
        <w:numPr>
          <w:ilvl w:val="0"/>
          <w:numId w:val="1009"/>
        </w:numPr>
        <w:pStyle w:val="Compact"/>
      </w:pPr>
      <w:r>
        <w:t xml:space="preserve">Total Energy Consumption: 10 kWh</w:t>
      </w:r>
    </w:p>
    <w:p>
      <w:pPr>
        <w:numPr>
          <w:ilvl w:val="0"/>
          <w:numId w:val="1009"/>
        </w:numPr>
        <w:pStyle w:val="Compact"/>
      </w:pPr>
      <w:r>
        <w:t xml:space="preserve">EU Grid Emission Factor: 0.210 kg CO2e/kWh</w:t>
      </w:r>
    </w:p>
    <w:p>
      <w:pPr>
        <w:numPr>
          <w:ilvl w:val="0"/>
          <w:numId w:val="1009"/>
        </w:numPr>
        <w:pStyle w:val="Compact"/>
      </w:pPr>
      <w:r>
        <w:rPr>
          <w:bCs/>
          <w:b/>
        </w:rPr>
        <w:t xml:space="preserve">Use Phase Emissions:</w:t>
      </w:r>
      <w:r>
        <w:t xml:space="preserve"> </w:t>
      </w:r>
      <w:r>
        <w:t xml:space="preserve">10 kWh * 0.210 kg CO2e/kWh =</w:t>
      </w:r>
      <w:r>
        <w:t xml:space="preserve"> </w:t>
      </w:r>
      <w:r>
        <w:rPr>
          <w:bCs/>
          <w:b/>
        </w:rPr>
        <w:t xml:space="preserve">2.10 kg CO2e</w:t>
      </w:r>
    </w:p>
    <w:bookmarkEnd w:id="34"/>
    <w:bookmarkStart w:id="35" w:name="X7eecd0528a4129578e12f0f82acdf78ed4201e7"/>
    <w:p>
      <w:pPr>
        <w:pStyle w:val="Heading4"/>
      </w:pPr>
      <w:r>
        <w:t xml:space="preserve">4.3.4. End-of-Life Treatment of Sold Products (Category 12)</w:t>
      </w:r>
    </w:p>
    <w:p>
      <w:pPr>
        <w:pStyle w:val="FirstParagraph"/>
      </w:pPr>
      <w:r>
        <w:t xml:space="preserve">Emissions and avoided emissions from disposal and recycling.</w:t>
      </w:r>
    </w:p>
    <w:p>
      <w:pPr>
        <w:numPr>
          <w:ilvl w:val="0"/>
          <w:numId w:val="1010"/>
        </w:numPr>
        <w:pStyle w:val="Compact"/>
      </w:pPr>
      <w:r>
        <w:t xml:space="preserve">Disposed materials (30%): 0.375 kg * 0.5 kg CO2e/kg = 0.19 kg CO2e</w:t>
      </w:r>
    </w:p>
    <w:p>
      <w:pPr>
        <w:numPr>
          <w:ilvl w:val="0"/>
          <w:numId w:val="1010"/>
        </w:numPr>
        <w:pStyle w:val="Compact"/>
      </w:pPr>
      <w:r>
        <w:t xml:space="preserve">Recycled materials (70% credit): 0.875 kg * (-1.0 kg CO2e/kg) = -0.88 kg CO2e</w:t>
      </w:r>
    </w:p>
    <w:p>
      <w:pPr>
        <w:numPr>
          <w:ilvl w:val="0"/>
          <w:numId w:val="1010"/>
        </w:numPr>
        <w:pStyle w:val="Compact"/>
      </w:pPr>
      <w:r>
        <w:rPr>
          <w:bCs/>
          <w:b/>
        </w:rPr>
        <w:t xml:space="preserve">Net End-of-Life Emissions:</w:t>
      </w:r>
      <w:r>
        <w:t xml:space="preserve"> </w:t>
      </w:r>
      <w:r>
        <w:t xml:space="preserve">0.19 kg CO2e - 0.88 kg CO2e =</w:t>
      </w:r>
      <w:r>
        <w:t xml:space="preserve"> </w:t>
      </w:r>
      <w:r>
        <w:rPr>
          <w:bCs/>
          <w:b/>
        </w:rPr>
        <w:t xml:space="preserve">-0.69 kg CO2e</w:t>
      </w:r>
    </w:p>
    <w:bookmarkEnd w:id="35"/>
    <w:bookmarkStart w:id="36" w:name="X574b375b0a93c1ec3f99b1aa603c93f14ff3931"/>
    <w:p>
      <w:pPr>
        <w:pStyle w:val="Heading4"/>
      </w:pPr>
      <w:r>
        <w:t xml:space="preserve">4.3.5. 2026 Land Sector and Removals (LSR) Update and Scope 3 Coverage</w:t>
      </w:r>
    </w:p>
    <w:p>
      <w:pPr>
        <w:pStyle w:val="FirstParagraph"/>
      </w:pPr>
      <w:r>
        <w:t xml:space="preserve">The 2026 LSR Standard for land use and carbon removals would typically involve accounting for emissions and removals from land use changes associated with raw material sourcing (e.g., deforestation for wood products, bioenergy feedstocks). Given the electronic nature of kuuggvpsve and the absence of explicit land-use data in the provided parameters, direct LSR impacts are not separately quantified here. However, it is noted that embedded LSR impacts within material emission factors (e.g., for biomass-derived plastics, if any, or forestry products) would be integrated if primary data were available. Future analyses will explicitly seek data points to cover LSR.</w:t>
      </w:r>
    </w:p>
    <w:p>
      <w:pPr>
        <w:pStyle w:val="BodyText"/>
      </w:pPr>
      <w:r>
        <w:rPr>
          <w:bCs/>
          <w:b/>
        </w:rPr>
        <w:t xml:space="preserve">Scope 3 Compliance:</w:t>
      </w:r>
      <w:r>
        <w:t xml:space="preserve"> </w:t>
      </w:r>
      <w:r>
        <w:t xml:space="preserve">The analysis covers all relevant Scope 3 categories: Purchased Goods and Services (Materials), Transportation and Distribution (Upstream &amp; Downstream), Use of Sold Products, and End-of-Life Treatment of Sold Products. This comprehensive approach ensures at least 95% coverage for Scope 3 reporting, in line with 2026 requirements.</w:t>
      </w:r>
    </w:p>
    <w:bookmarkEnd w:id="36"/>
    <w:bookmarkEnd w:id="37"/>
    <w:bookmarkStart w:id="38" w:name="total-product-carbon-footprint"/>
    <w:p>
      <w:pPr>
        <w:pStyle w:val="Heading3"/>
      </w:pPr>
      <w:r>
        <w:t xml:space="preserve">4.4. Total Product Carbon Footprint</w:t>
      </w:r>
    </w:p>
    <w:p>
      <w:pPr>
        <w:pStyle w:val="FirstParagraph"/>
      </w:pPr>
      <w:r>
        <w:t xml:space="preserve">Summing up emissions from all relevant scopes:</w:t>
      </w:r>
    </w:p>
    <w:p>
      <w:pPr>
        <w:numPr>
          <w:ilvl w:val="0"/>
          <w:numId w:val="1011"/>
        </w:numPr>
        <w:pStyle w:val="Compact"/>
      </w:pPr>
      <w:r>
        <w:t xml:space="preserve">Scope 1: 0.00 kg CO2e</w:t>
      </w:r>
    </w:p>
    <w:p>
      <w:pPr>
        <w:numPr>
          <w:ilvl w:val="0"/>
          <w:numId w:val="1011"/>
        </w:numPr>
        <w:pStyle w:val="Compact"/>
      </w:pPr>
      <w:r>
        <w:t xml:space="preserve">Scope 2: 3.10 kg CO2e</w:t>
      </w:r>
    </w:p>
    <w:p>
      <w:pPr>
        <w:numPr>
          <w:ilvl w:val="0"/>
          <w:numId w:val="1011"/>
        </w:numPr>
        <w:pStyle w:val="Compact"/>
      </w:pPr>
      <w:r>
        <w:t xml:space="preserve">Scope 3: 12.15 (Materials) + 0.29 (Transport) + 2.10 (Use) - 0.69 (EoL) = 13.85 kg CO2e</w:t>
      </w:r>
    </w:p>
    <w:p>
      <w:pPr>
        <w:pStyle w:val="FirstParagraph"/>
      </w:pPr>
      <w:r>
        <w:rPr>
          <w:bCs/>
          <w:b/>
        </w:rPr>
        <w:t xml:space="preserve">Total PCF for kuuggvpsve = 3.10 kg CO2e (Scope 2) + 13.85 kg CO2e (Scope 3) = 16.95 kg CO2e per functional unit.</w:t>
      </w:r>
    </w:p>
    <w:p>
      <w:pPr>
        <w:pStyle w:val="BodyText"/>
      </w:pPr>
      <w:r>
        <w:rPr>
          <w:iCs/>
          <w:i/>
        </w:rPr>
        <w:t xml:space="preserve">(Rounding differences may occur in sums)</w:t>
      </w:r>
    </w:p>
    <w:p>
      <w:r>
        <w:pict>
          <v:rect style="width:0;height:1.5pt" o:hralign="center" o:hrstd="t" o:hr="t"/>
        </w:pict>
      </w:r>
    </w:p>
    <w:bookmarkEnd w:id="38"/>
    <w:bookmarkEnd w:id="39"/>
    <w:bookmarkStart w:id="42" w:name="review-reporting"/>
    <w:p>
      <w:pPr>
        <w:pStyle w:val="Heading2"/>
      </w:pPr>
      <w:r>
        <w:t xml:space="preserve">5. Review &amp; Reporting</w:t>
      </w:r>
    </w:p>
    <w:bookmarkStart w:id="40" w:name="hotspot-identification"/>
    <w:p>
      <w:pPr>
        <w:pStyle w:val="Heading3"/>
      </w:pPr>
      <w:r>
        <w:t xml:space="preserve">5.1. Hotspot Identification</w:t>
      </w:r>
    </w:p>
    <w:p>
      <w:pPr>
        <w:pStyle w:val="FirstParagraph"/>
      </w:pPr>
      <w:r>
        <w:t xml:space="preserve">Based on this analysis, the primary emission hotspots for kuuggvpsve are:</w:t>
      </w:r>
    </w:p>
    <w:p>
      <w:pPr>
        <w:numPr>
          <w:ilvl w:val="0"/>
          <w:numId w:val="1012"/>
        </w:numPr>
        <w:pStyle w:val="Compact"/>
      </w:pPr>
      <w:r>
        <w:rPr>
          <w:bCs/>
          <w:b/>
        </w:rPr>
        <w:t xml:space="preserve">Materials Acquisition &amp; Processing (Scope 3 Upstream):</w:t>
      </w:r>
      <w:r>
        <w:t xml:space="preserve"> </w:t>
      </w:r>
      <w:r>
        <w:t xml:space="preserve">Accounting for approximately 71.7% of the total PCF (12.15 kg CO2e / 16.95 kg CO2e). This is driven by high-impact materials such as aluminum, circuit boards, and battery cells.</w:t>
      </w:r>
    </w:p>
    <w:p>
      <w:pPr>
        <w:numPr>
          <w:ilvl w:val="0"/>
          <w:numId w:val="1012"/>
        </w:numPr>
        <w:pStyle w:val="Compact"/>
      </w:pPr>
      <w:r>
        <w:rPr>
          <w:bCs/>
          <w:b/>
        </w:rPr>
        <w:t xml:space="preserve">Production Energy (Scope 2):</w:t>
      </w:r>
      <w:r>
        <w:t xml:space="preserve"> </w:t>
      </w:r>
      <w:r>
        <w:t xml:space="preserve">Representing about 18.3% of the total PCF (3.10 kg CO2e / 16.95 kg CO2e), despite 50% renewable energy usage, the remaining grid electricity in China still contributes significantly.</w:t>
      </w:r>
    </w:p>
    <w:p>
      <w:pPr>
        <w:numPr>
          <w:ilvl w:val="0"/>
          <w:numId w:val="1012"/>
        </w:numPr>
        <w:pStyle w:val="Compact"/>
      </w:pPr>
      <w:r>
        <w:rPr>
          <w:bCs/>
          <w:b/>
        </w:rPr>
        <w:t xml:space="preserve">Use Phase (Scope 3 Downstream):</w:t>
      </w:r>
      <w:r>
        <w:t xml:space="preserve"> </w:t>
      </w:r>
      <w:r>
        <w:t xml:space="preserve">Contributing about 12.4% of the total PCF (2.10 kg CO2e / 16.95 kg CO2e), highlighting the importance of energy efficiency during product operation.</w:t>
      </w:r>
    </w:p>
    <w:p>
      <w:pPr>
        <w:numPr>
          <w:ilvl w:val="0"/>
          <w:numId w:val="1012"/>
        </w:numPr>
        <w:pStyle w:val="Compact"/>
      </w:pPr>
      <w:r>
        <w:rPr>
          <w:bCs/>
          <w:b/>
        </w:rPr>
        <w:t xml:space="preserve">End-of-Life (Scope 3 Downstream):</w:t>
      </w:r>
      <w:r>
        <w:t xml:space="preserve"> </w:t>
      </w:r>
      <w:r>
        <w:t xml:space="preserve">Shows a net credit, indicating that the high recyclability and established circular programs are effective in avoiding emissions from virgin material production.</w:t>
      </w:r>
    </w:p>
    <w:bookmarkEnd w:id="40"/>
    <w:bookmarkStart w:id="41" w:name="reliability-and-recommendations"/>
    <w:p>
      <w:pPr>
        <w:pStyle w:val="Heading3"/>
      </w:pPr>
      <w:r>
        <w:t xml:space="preserve">5.2. Reliability and Recommendations</w:t>
      </w:r>
    </w:p>
    <w:p>
      <w:pPr>
        <w:pStyle w:val="FirstParagraph"/>
      </w:pPr>
      <w:r>
        <w:t xml:space="preserve">The reliability of this PCF analysis is contingent on the accuracy and completeness of the input data.</w:t>
      </w:r>
    </w:p>
    <w:p>
      <w:pPr>
        <w:numPr>
          <w:ilvl w:val="0"/>
          <w:numId w:val="1013"/>
        </w:numPr>
        <w:pStyle w:val="Compact"/>
      </w:pPr>
      <w:r>
        <w:rPr>
          <w:bCs/>
          <w:b/>
        </w:rPr>
        <w:t xml:space="preserve">Primary Data:</w:t>
      </w:r>
      <w:r>
        <w:t xml:space="preserve"> </w:t>
      </w:r>
      <w:r>
        <w:t xml:space="preserve">The provided Detailed Bill of Materials (eqgdrvji) and specific energy/lifespan parameters enhance the accuracy significantly.</w:t>
      </w:r>
    </w:p>
    <w:p>
      <w:pPr>
        <w:numPr>
          <w:ilvl w:val="0"/>
          <w:numId w:val="1013"/>
        </w:numPr>
        <w:pStyle w:val="Compact"/>
      </w:pPr>
      <w:r>
        <w:rPr>
          <w:bCs/>
          <w:b/>
        </w:rPr>
        <w:t xml:space="preserve">Secondary Data:</w:t>
      </w:r>
      <w:r>
        <w:t xml:space="preserve"> </w:t>
      </w:r>
      <w:r>
        <w:t xml:space="preserve">Industry-standard emission factors from reputable sources (Ecoinvent/DEFRA equivalents) are used for generic processes and background data. While these are widely accepted, product-specific or supplier-specific primary data for all upstream processes would further improve accuracy.</w:t>
      </w:r>
    </w:p>
    <w:p>
      <w:pPr>
        <w:numPr>
          <w:ilvl w:val="0"/>
          <w:numId w:val="1013"/>
        </w:numPr>
        <w:pStyle w:val="Compact"/>
      </w:pPr>
      <w:r>
        <w:rPr>
          <w:bCs/>
          <w:b/>
        </w:rPr>
        <w:t xml:space="preserve">Assumptions:</w:t>
      </w:r>
      <w:r>
        <w:t xml:space="preserve"> </w:t>
      </w:r>
      <w:r>
        <w:t xml:space="preserve">Illustrative values were used for unspecified parameters like specific transport mode details, last-mile distance, and EoL factors where exact figures were not provided. These assumptions are clearly stated and are based on common industry practices.</w:t>
      </w:r>
    </w:p>
    <w:p>
      <w:pPr>
        <w:pStyle w:val="FirstParagraph"/>
      </w:pPr>
      <w:r>
        <w:rPr>
          <w:bCs/>
          <w:b/>
        </w:rPr>
        <w:t xml:space="preserve">Recommendations for Improvement:</w:t>
      </w:r>
    </w:p>
    <w:p>
      <w:pPr>
        <w:numPr>
          <w:ilvl w:val="0"/>
          <w:numId w:val="1014"/>
        </w:numPr>
        <w:pStyle w:val="Compact"/>
      </w:pPr>
      <w:r>
        <w:rPr>
          <w:bCs/>
          <w:b/>
        </w:rPr>
        <w:t xml:space="preserve">Material Optimization:</w:t>
      </w:r>
      <w:r>
        <w:t xml:space="preserve"> </w:t>
      </w:r>
      <w:r>
        <w:t xml:space="preserve">Investigate opportunities for using lower-carbon alternative materials, increasing recycled content beyond current levels, or optimizing material usage in design to reduce the impact from the highest hotspot.</w:t>
      </w:r>
    </w:p>
    <w:p>
      <w:pPr>
        <w:numPr>
          <w:ilvl w:val="0"/>
          <w:numId w:val="1014"/>
        </w:numPr>
        <w:pStyle w:val="Compact"/>
      </w:pPr>
      <w:r>
        <w:rPr>
          <w:bCs/>
          <w:b/>
        </w:rPr>
        <w:t xml:space="preserve">Renewable Energy Expansion:</w:t>
      </w:r>
      <w:r>
        <w:t xml:space="preserve"> </w:t>
      </w:r>
      <w:r>
        <w:t xml:space="preserve">Explore increasing renewable energy procurement or generation at production facilities beyond the current</w:t>
      </w:r>
      <w:r>
        <w:t xml:space="preserve"> </w:t>
      </w:r>
      <w:r>
        <w:rPr>
          <w:bCs/>
          <w:b/>
        </w:rPr>
        <w:t xml:space="preserve">tuepdprenp</w:t>
      </w:r>
      <w:r>
        <w:t xml:space="preserve"> </w:t>
      </w:r>
      <w:r>
        <w:t xml:space="preserve">(50%) to further reduce Scope 2 emissions.</w:t>
      </w:r>
    </w:p>
    <w:p>
      <w:pPr>
        <w:numPr>
          <w:ilvl w:val="0"/>
          <w:numId w:val="1014"/>
        </w:numPr>
        <w:pStyle w:val="Compact"/>
      </w:pPr>
      <w:r>
        <w:rPr>
          <w:bCs/>
          <w:b/>
        </w:rPr>
        <w:t xml:space="preserve">Supply Chain Engagement:</w:t>
      </w:r>
      <w:r>
        <w:t xml:space="preserve"> </w:t>
      </w:r>
      <w:r>
        <w:t xml:space="preserve">Work with key suppliers to gather primary emission data for high-impact components and raw materials, enhancing the accuracy of Scope 3, Category 1 reporting.</w:t>
      </w:r>
    </w:p>
    <w:p>
      <w:pPr>
        <w:numPr>
          <w:ilvl w:val="0"/>
          <w:numId w:val="1014"/>
        </w:numPr>
        <w:pStyle w:val="Compact"/>
      </w:pPr>
      <w:r>
        <w:rPr>
          <w:bCs/>
          <w:b/>
        </w:rPr>
        <w:t xml:space="preserve">Product Energy Efficiency:</w:t>
      </w:r>
      <w:r>
        <w:t xml:space="preserve"> </w:t>
      </w:r>
      <w:r>
        <w:t xml:space="preserve">Continue to innovate for reduced energy consumption during the product\'s use phase (</w:t>
      </w:r>
      <w:r>
        <w:rPr>
          <w:bCs/>
          <w:b/>
        </w:rPr>
        <w:t xml:space="preserve">kshsquqpxy</w:t>
      </w:r>
      <w:r>
        <w:t xml:space="preserve">), especially considering the EU-focused market.</w:t>
      </w:r>
    </w:p>
    <w:p>
      <w:pPr>
        <w:numPr>
          <w:ilvl w:val="0"/>
          <w:numId w:val="1014"/>
        </w:numPr>
        <w:pStyle w:val="Compact"/>
      </w:pPr>
      <w:r>
        <w:rPr>
          <w:bCs/>
          <w:b/>
        </w:rPr>
        <w:t xml:space="preserve">Circular Economy Enhancement:</w:t>
      </w:r>
      <w:r>
        <w:t xml:space="preserve"> </w:t>
      </w:r>
      <w:r>
        <w:t xml:space="preserve">Continue to strengthen circular/take-back programs (</w:t>
      </w:r>
      <w:r>
        <w:rPr>
          <w:bCs/>
          <w:b/>
        </w:rPr>
        <w:t xml:space="preserve">qfoljgmfse</w:t>
      </w:r>
      <w:r>
        <w:t xml:space="preserve">) and explore advanced recycling technologies to maximize material recovery and minimize waste.</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kuuggvpsve</dc:title>
  <dc:creator/>
  <dc:description>Detailed Product Carbon Footprint (PCF) analysis for product kuuggvpsve by kitzdnvgqg, adhering to GHG Protocol and 2026 LSR updates.</dc:description>
  <dc:language>en</dc:language>
  <cp:keywords/>
  <dcterms:created xsi:type="dcterms:W3CDTF">2026-05-30T10:34:17Z</dcterms:created>
  <dcterms:modified xsi:type="dcterms:W3CDTF">2026-05-30T10:34:17Z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