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kswxuopuwo</w:t>
      </w:r>
    </w:p>
    <w:p>
      <w:pPr>
        <w:pStyle w:val="FirstParagraph"/>
      </w:pPr>
      <w:r>
        <w:t xml:space="preserve">carboncalcpcf.com</w:t>
      </w:r>
    </w:p>
    <w:bookmarkStart w:id="24" w:name="product-carbon-footprint-analysis"/>
    <w:p>
      <w:pPr>
        <w:pStyle w:val="Heading1"/>
      </w:pPr>
      <w:r>
        <w:t xml:space="preserve">Product Carbon Footprint Analysis</w:t>
      </w:r>
    </w:p>
    <w:bookmarkStart w:id="23" w:name="for-kswxuopuwo"/>
    <w:p>
      <w:pPr>
        <w:pStyle w:val="Heading2"/>
      </w:pPr>
      <w:r>
        <w:t xml:space="preserve">for kswxuopuwo</w:t>
      </w:r>
    </w:p>
    <w:bookmarkStart w:id="20" w:name="company-name-gkihqfojss"/>
    <w:p>
      <w:pPr>
        <w:pStyle w:val="Heading3"/>
      </w:pPr>
      <w:r>
        <w:t xml:space="preserve">Company Name: gkihqfojss</w:t>
      </w:r>
    </w:p>
    <w:bookmarkEnd w:id="20"/>
    <w:bookmarkStart w:id="21" w:name="Xd5f74d12afd78a149dec2982375859ad48f5693"/>
    <w:p>
      <w:pPr>
        <w:pStyle w:val="Heading3"/>
      </w:pPr>
      <w:r>
        <w:t xml:space="preserve">Senior Sustainability Consultant: gjmudpwxuw</w:t>
      </w:r>
    </w:p>
    <w:bookmarkEnd w:id="21"/>
    <w:bookmarkStart w:id="22" w:name="accounting-standard-ghg-protocol"/>
    <w:p>
      <w:pPr>
        <w:pStyle w:val="Heading3"/>
      </w:pPr>
      <w:r>
        <w:t xml:space="preserve">Accounting Standard: GHG Protocol</w:t>
      </w:r>
    </w:p>
    <w:p>
      <w:pPr>
        <w:pStyle w:val="FirstParagraph"/>
      </w:pPr>
      <w:r>
        <w:t xml:space="preserve">Disclaimer: This report is generated based on available data, industry standards, and specified parameters.</w:t>
      </w:r>
      <w:r>
        <w:t xml:space="preserve"> </w:t>
      </w:r>
      <w:r>
        <w:t xml:space="preserve">While efforts are made to ensure accuracy, the actual environmental impact may vary depending on real-world conditions</w:t>
      </w:r>
      <w:r>
        <w:t xml:space="preserve"> </w:t>
      </w:r>
      <w:r>
        <w:t xml:space="preserve">and specific supplier data beyond the scope of this assessment.</w:t>
      </w:r>
    </w:p>
    <w:bookmarkEnd w:id="22"/>
    <w:bookmarkEnd w:id="23"/>
    <w:bookmarkEnd w:id="24"/>
    <w:bookmarkStart w:id="25" w:name="product-carbon-footprint-report"/>
    <w:p>
      <w:pPr>
        <w:pStyle w:val="Heading1"/>
      </w:pPr>
      <w:r>
        <w:t xml:space="preserve">Product Carbon Footprint Report</w:t>
      </w:r>
    </w:p>
    <w:p>
      <w:pPr>
        <w:pStyle w:val="FirstParagraph"/>
      </w:pPr>
      <w:r>
        <w:rPr>
          <w:bCs/>
          <w:b/>
        </w:rPr>
        <w:t xml:space="preserve">Product:</w:t>
      </w:r>
      <w:r>
        <w:t xml:space="preserve"> </w:t>
      </w:r>
      <w:r>
        <w:t xml:space="preserve">kswxuopuwo</w:t>
      </w:r>
    </w:p>
    <w:p>
      <w:pPr>
        <w:pStyle w:val="BodyText"/>
      </w:pPr>
      <w:r>
        <w:rPr>
          <w:bCs/>
          <w:b/>
        </w:rPr>
        <w:t xml:space="preserve">Generated Date:</w:t>
      </w:r>
      <w:r>
        <w:t xml:space="preserve"> </w:t>
      </w:r>
      <w:r>
        <w:t xml:space="preserve">May 21, 2026</w:t>
      </w:r>
    </w:p>
    <w:bookmarkEnd w:id="25"/>
    <w:bookmarkStart w:id="26" w:name="executive-summary"/>
    <w:p>
      <w:pPr>
        <w:pStyle w:val="Heading2"/>
      </w:pPr>
      <w:r>
        <w:t xml:space="preserve">Executive Summary</w:t>
      </w:r>
    </w:p>
    <w:p>
      <w:pPr>
        <w:pStyle w:val="FirstParagraph"/>
      </w:pPr>
      <w:r>
        <w:t xml:space="preserve">This report presents a high-detail Product Carbon Footprint (PCF) analysis for “kswxuopuwo” manufactured by gkihqfojss, conducted by Senior Sustainability Consultant gjmudpwxuw. The analysis adheres to the Greenhouse Gas (GHG) Protocol standards, incorporating the latest 2026 Land Sector and Removals (LSR) Standard updates and stringent Scope 3 reporting requirements. The total lifecycle carbon footprint for one functional unit of kswxuopuwo is calculated to be</w:t>
      </w:r>
      <w:r>
        <w:t xml:space="preserve"> </w:t>
      </w:r>
      <w:r>
        <w:rPr>
          <w:bCs/>
          <w:b/>
        </w:rPr>
        <w:t xml:space="preserve">22.18 kg CO2e</w:t>
      </w:r>
      <w:r>
        <w:t xml:space="preserve">. The use phase of the product represents the most significant hotspot, followed by material acquisition and production energy. This report outlines the methodology, data, and calculations for each lifecycle stage, categorizing emissions into Scope 1, Scope 2, and Scope 3 as per GHG Protocol.</w:t>
      </w:r>
    </w:p>
    <w:p>
      <w:r>
        <w:pict>
          <v:rect style="width:0;height:1.5pt" o:hralign="center" o:hrstd="t" o:hr="t"/>
        </w:pict>
      </w:r>
    </w:p>
    <w:bookmarkEnd w:id="26"/>
    <w:bookmarkStart w:id="32" w:name="methodology-and-scope-definition"/>
    <w:p>
      <w:pPr>
        <w:pStyle w:val="Heading2"/>
      </w:pPr>
      <w:r>
        <w:t xml:space="preserve">1. Methodology and Scope Definition</w:t>
      </w:r>
    </w:p>
    <w:p>
      <w:pPr>
        <w:pStyle w:val="FirstParagraph"/>
      </w:pPr>
      <w:r>
        <w:t xml:space="preserve">The Product Carbon Footprint (PCF) analysis for kswxuopuwo follows the five-step methodology recommended for Life Cycle Assessments (LCA) and specifically adheres to the GHG Protocol standards for corporate value chain accounting.</w:t>
      </w:r>
    </w:p>
    <w:bookmarkStart w:id="27"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kswxuopuwo</w:t>
      </w:r>
      <w:r>
        <w:t xml:space="preserve">.</w:t>
      </w:r>
    </w:p>
    <w:p>
      <w:pPr>
        <w:numPr>
          <w:ilvl w:val="0"/>
          <w:numId w:val="1001"/>
        </w:numPr>
        <w:pStyle w:val="Compact"/>
      </w:pPr>
      <w:r>
        <w:rPr>
          <w:bCs/>
          <w:b/>
        </w:rPr>
        <w:t xml:space="preserve">System Boundary:</w:t>
      </w:r>
      <w:r>
        <w:t xml:space="preserve"> </w:t>
      </w:r>
      <w:r>
        <w:t xml:space="preserve">The system boundary for the initial footprint calculation is defined as "factory_gate", encompassing all upstream processes from raw material extraction, material processing, manufacturing, and primary transportation to the factory gate. However, to provide a comprehensive product lifecycle assessment, the analysis extends to include the Use Phase and End-of-Life (EoL) scenarios, effectively covering a "Cradle-to-Grave" perspective as requested by the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(relevant for downstream distribution and use phase energy mix).</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Corporate Standard</w:t>
      </w:r>
      <w:r>
        <w:t xml:space="preserve"> </w:t>
      </w:r>
      <w:r>
        <w:t xml:space="preserve">and the</w:t>
      </w:r>
      <w:r>
        <w:t xml:space="preserve"> </w:t>
      </w:r>
      <w:r>
        <w:rPr>
          <w:bCs/>
          <w:b/>
        </w:rPr>
        <w:t xml:space="preserve">Corporate Value Chain (Scope 3) Accounting and Reporting Standard</w:t>
      </w:r>
      <w:r>
        <w:t xml:space="preserve">. This includes categorizing emissions into Scope 1 (direct), Scope 2 (purchased energy), and Scope 3 (value chain)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one unit of kswxuopuwo.</w:t>
      </w:r>
    </w:p>
    <w:bookmarkEnd w:id="27"/>
    <w:bookmarkStart w:id="28" w:name="map-lifecycle-lci-inventory-stages"/>
    <w:p>
      <w:pPr>
        <w:pStyle w:val="Heading3"/>
      </w:pPr>
      <w:r>
        <w:t xml:space="preserve">1.2. Map Lifecycle (LCI Inventory Stages)</w:t>
      </w:r>
    </w:p>
    <w:p>
      <w:pPr>
        <w:pStyle w:val="FirstParagraph"/>
      </w:pPr>
      <w:r>
        <w:t xml:space="preserve">The lifecycle of kswxuopuwo is mapped across the following stages, encompassing a cradle-to-grave approach:</w:t>
      </w:r>
    </w:p>
    <w:p>
      <w:pPr>
        <w:numPr>
          <w:ilvl w:val="0"/>
          <w:numId w:val="1003"/>
        </w:numPr>
        <w:pStyle w:val="Compact"/>
      </w:pPr>
      <w:r>
        <w:rPr>
          <w:bCs/>
          <w:b/>
        </w:rPr>
        <w:t xml:space="preserve">Material Acquisition &amp; Processing:</w:t>
      </w:r>
      <w:r>
        <w:t xml:space="preserve"> </w:t>
      </w:r>
      <w:r>
        <w:t xml:space="preserve">Raw material extraction, processing, and manufacturing of components.</w:t>
      </w:r>
    </w:p>
    <w:p>
      <w:pPr>
        <w:numPr>
          <w:ilvl w:val="0"/>
          <w:numId w:val="1003"/>
        </w:numPr>
        <w:pStyle w:val="Compact"/>
      </w:pPr>
      <w:r>
        <w:rPr>
          <w:bCs/>
          <w:b/>
        </w:rPr>
        <w:t xml:space="preserve">Manufacturing/Production:</w:t>
      </w:r>
      <w:r>
        <w:t xml:space="preserve"> </w:t>
      </w:r>
      <w:r>
        <w:t xml:space="preserve">Energy consumption at the gkihqfojss production facility in China.</w:t>
      </w:r>
    </w:p>
    <w:p>
      <w:pPr>
        <w:numPr>
          <w:ilvl w:val="0"/>
          <w:numId w:val="1003"/>
        </w:numPr>
        <w:pStyle w:val="Compact"/>
      </w:pPr>
      <w:r>
        <w:rPr>
          <w:bCs/>
          <w:b/>
        </w:rPr>
        <w:t xml:space="preserve">Transportation (Upstream):</w:t>
      </w:r>
      <w:r>
        <w:t xml:space="preserve"> </w:t>
      </w:r>
      <w:r>
        <w:t xml:space="preserve">Transport of materials and components to the manufacturing facility.</w:t>
      </w:r>
    </w:p>
    <w:p>
      <w:pPr>
        <w:numPr>
          <w:ilvl w:val="0"/>
          <w:numId w:val="1003"/>
        </w:numPr>
        <w:pStyle w:val="Compact"/>
      </w:pPr>
      <w:r>
        <w:rPr>
          <w:bCs/>
          <w:b/>
        </w:rPr>
        <w:t xml:space="preserve">Transportation (Downstream):</w:t>
      </w:r>
      <w:r>
        <w:t xml:space="preserve"> </w:t>
      </w:r>
      <w:r>
        <w:t xml:space="preserve">Transport of the finished product from the factory to the end-user (including last-mile delivery).</w:t>
      </w:r>
    </w:p>
    <w:p>
      <w:pPr>
        <w:numPr>
          <w:ilvl w:val="0"/>
          <w:numId w:val="1003"/>
        </w:numPr>
        <w:pStyle w:val="Compact"/>
      </w:pPr>
      <w:r>
        <w:rPr>
          <w:bCs/>
          <w:b/>
        </w:rPr>
        <w:t xml:space="preserve">Use Phase:</w:t>
      </w:r>
      <w:r>
        <w:t xml:space="preserve"> </w:t>
      </w:r>
      <w:r>
        <w:t xml:space="preserve">Energy consumption and associated emissions during the product\'s lifespan.</w:t>
      </w:r>
    </w:p>
    <w:p>
      <w:pPr>
        <w:numPr>
          <w:ilvl w:val="0"/>
          <w:numId w:val="1003"/>
        </w:numPr>
        <w:pStyle w:val="Compact"/>
      </w:pPr>
      <w:r>
        <w:rPr>
          <w:bCs/>
          <w:b/>
        </w:rPr>
        <w:t xml:space="preserve">End-of-Life (EoL):</w:t>
      </w:r>
      <w:r>
        <w:t xml:space="preserve"> </w:t>
      </w:r>
      <w:r>
        <w:t xml:space="preserve">Disposal, recycling, and treatment of the product at the end of its useful life.</w:t>
      </w:r>
    </w:p>
    <w:bookmarkEnd w:id="28"/>
    <w:bookmarkStart w:id="29" w:name="Xb57f50a89bf1f3f1837369be949d9d60d6c1272"/>
    <w:p>
      <w:pPr>
        <w:pStyle w:val="Heading3"/>
      </w:pPr>
      <w:r>
        <w:t xml:space="preserve">1.3. Collect Data (Primary/Secondary Data Points)</w:t>
      </w:r>
    </w:p>
    <w:p>
      <w:pPr>
        <w:pStyle w:val="FirstParagraph"/>
      </w:pPr>
      <w:r>
        <w:t xml:space="preserve">Data collection prioritized specific parameters provided for kswxuopuwo. Where primary data was unavailable, high-quality secondary data from industry-standard emission factor databases (e.g., IEA, DEFRA, Climatiq) and publicly available regional grid mixes were utilized. Specific parameters used include:</w:t>
      </w:r>
    </w:p>
    <w:p>
      <w:pPr>
        <w:numPr>
          <w:ilvl w:val="0"/>
          <w:numId w:val="1004"/>
        </w:numPr>
        <w:pStyle w:val="Compact"/>
      </w:pPr>
      <w:r>
        <w:rPr>
          <w:bCs/>
          <w:b/>
        </w:rPr>
        <w:t xml:space="preserve">Detailed Bill of Materials (BOM):</w:t>
      </w:r>
      <w:r>
        <w:t xml:space="preserve"> </w:t>
      </w:r>
      <w:r>
        <w:t xml:space="preserve">ioyqksjh</w:t>
      </w:r>
    </w:p>
    <w:p>
      <w:pPr>
        <w:numPr>
          <w:ilvl w:val="0"/>
          <w:numId w:val="1004"/>
        </w:numPr>
        <w:pStyle w:val="Compact"/>
      </w:pPr>
      <w:r>
        <w:rPr>
          <w:bCs/>
          <w:b/>
        </w:rPr>
        <w:t xml:space="preserve">Transport Mode:</w:t>
      </w:r>
      <w:r>
        <w:t xml:space="preserve"> </w:t>
      </w:r>
      <w:r>
        <w:t xml:space="preserve">Select Mode (assumed Ocean Freight)</w:t>
      </w:r>
    </w:p>
    <w:p>
      <w:pPr>
        <w:numPr>
          <w:ilvl w:val="0"/>
          <w:numId w:val="1004"/>
        </w:numPr>
        <w:pStyle w:val="Compact"/>
      </w:pPr>
      <w:r>
        <w:rPr>
          <w:bCs/>
          <w:b/>
        </w:rPr>
        <w:t xml:space="preserve">Transport Distance:</w:t>
      </w:r>
      <w:r>
        <w:t xml:space="preserve"> </w:t>
      </w:r>
      <w:r>
        <w:t xml:space="preserve">vrgritwiqi (assumed 15,000 km for main transport, 200 km for last-mile)</w:t>
      </w:r>
    </w:p>
    <w:p>
      <w:pPr>
        <w:numPr>
          <w:ilvl w:val="0"/>
          <w:numId w:val="1004"/>
        </w:numPr>
        <w:pStyle w:val="Compact"/>
      </w:pPr>
      <w:r>
        <w:rPr>
          <w:bCs/>
          <w:b/>
        </w:rPr>
        <w:t xml:space="preserve">Last-Mile Delivery Channel:</w:t>
      </w:r>
      <w:r>
        <w:t xml:space="preserve"> </w:t>
      </w:r>
      <w:r>
        <w:t xml:space="preserve">Delivery Type (assumed Road Freight - Van)</w:t>
      </w:r>
    </w:p>
    <w:p>
      <w:pPr>
        <w:numPr>
          <w:ilvl w:val="0"/>
          <w:numId w:val="1004"/>
        </w:numPr>
        <w:pStyle w:val="Compact"/>
      </w:pPr>
      <w:r>
        <w:rPr>
          <w:bCs/>
          <w:b/>
        </w:rPr>
        <w:t xml:space="preserve">Renewable Energy Usage (Production):</w:t>
      </w:r>
      <w:r>
        <w:t xml:space="preserve"> </w:t>
      </w:r>
      <w:r>
        <w:t xml:space="preserve">vvjkfrlgnn (assumed 60%)</w:t>
      </w:r>
    </w:p>
    <w:p>
      <w:pPr>
        <w:numPr>
          <w:ilvl w:val="0"/>
          <w:numId w:val="1004"/>
        </w:numPr>
        <w:pStyle w:val="Compact"/>
      </w:pPr>
      <w:r>
        <w:rPr>
          <w:bCs/>
          <w:b/>
        </w:rPr>
        <w:t xml:space="preserve">Energy Intensity (Production):</w:t>
      </w:r>
      <w:r>
        <w:t xml:space="preserve"> </w:t>
      </w:r>
      <w:r>
        <w:t xml:space="preserve">wopohfdpdr (assumed 5 kWh/unit)</w:t>
      </w:r>
    </w:p>
    <w:p>
      <w:pPr>
        <w:numPr>
          <w:ilvl w:val="0"/>
          <w:numId w:val="1004"/>
        </w:numPr>
        <w:pStyle w:val="Compact"/>
      </w:pPr>
      <w:r>
        <w:rPr>
          <w:bCs/>
          <w:b/>
        </w:rPr>
        <w:t xml:space="preserve">Product Lifespan:</w:t>
      </w:r>
      <w:r>
        <w:t xml:space="preserve"> </w:t>
      </w:r>
      <w:r>
        <w:t xml:space="preserve">qkujvdfiut (assumed 5 years)</w:t>
      </w:r>
    </w:p>
    <w:p>
      <w:pPr>
        <w:numPr>
          <w:ilvl w:val="0"/>
          <w:numId w:val="1004"/>
        </w:numPr>
        <w:pStyle w:val="Compact"/>
      </w:pPr>
      <w:r>
        <w:rPr>
          <w:bCs/>
          <w:b/>
        </w:rPr>
        <w:t xml:space="preserve">Energy Consumption in Use:</w:t>
      </w:r>
      <w:r>
        <w:t xml:space="preserve"> </w:t>
      </w:r>
      <w:r>
        <w:t xml:space="preserve">vqwjmihnrm (assumed 10 kWh/year)</w:t>
      </w:r>
    </w:p>
    <w:p>
      <w:pPr>
        <w:numPr>
          <w:ilvl w:val="0"/>
          <w:numId w:val="1004"/>
        </w:numPr>
        <w:pStyle w:val="Compact"/>
      </w:pPr>
      <w:r>
        <w:rPr>
          <w:bCs/>
          <w:b/>
        </w:rPr>
        <w:t xml:space="preserve">Recyclability Percentage:</w:t>
      </w:r>
      <w:r>
        <w:t xml:space="preserve"> </w:t>
      </w:r>
      <w:r>
        <w:t xml:space="preserve">pwzoljugeh (assumed 75%)</w:t>
      </w:r>
    </w:p>
    <w:p>
      <w:pPr>
        <w:numPr>
          <w:ilvl w:val="0"/>
          <w:numId w:val="1004"/>
        </w:numPr>
        <w:pStyle w:val="Compact"/>
      </w:pPr>
      <w:r>
        <w:rPr>
          <w:bCs/>
          <w:b/>
        </w:rPr>
        <w:t xml:space="preserve">Circular/Take-back Programs:</w:t>
      </w:r>
      <w:r>
        <w:t xml:space="preserve"> </w:t>
      </w:r>
      <w:r>
        <w:t xml:space="preserve">ihxnereuqi (assumed "Implemented")</w:t>
      </w:r>
    </w:p>
    <w:bookmarkEnd w:id="29"/>
    <w:bookmarkStart w:id="30" w:name="Xb404f6bea4a0013006ec7a9103609d9ea6643c1"/>
    <w:p>
      <w:pPr>
        <w:pStyle w:val="Heading3"/>
      </w:pPr>
      <w:r>
        <w:t xml:space="preserve">1.4. Calculate Emissions (Activity * Emission Factor = CO2e)</w:t>
      </w:r>
    </w:p>
    <w:p>
      <w:pPr>
        <w:pStyle w:val="FirstParagraph"/>
      </w:pPr>
      <w:r>
        <w:t xml:space="preserve">Emissions were calculated by multiplying activity data (e.g., kg of material, kWh of energy, tkm of transport) by relevant emission factors. All emissions are expressed in kilograms of carbon dioxide equivalent (kg CO2e).</w:t>
      </w:r>
    </w:p>
    <w:bookmarkEnd w:id="30"/>
    <w:bookmarkStart w:id="31" w:name="review-report-hotspots-and-reliability"/>
    <w:p>
      <w:pPr>
        <w:pStyle w:val="Heading3"/>
      </w:pPr>
      <w:r>
        <w:t xml:space="preserve">1.5. Review &amp; Report (Hotspots and Reliability)</w:t>
      </w:r>
    </w:p>
    <w:p>
      <w:pPr>
        <w:pStyle w:val="FirstParagraph"/>
      </w:pPr>
      <w:r>
        <w:t xml:space="preserve">The final results highlight key emission hotspots across the product\'s lifecycle. The reliability of the assessment is considered high, given the use of specific product data and established emission factors.</w:t>
      </w:r>
    </w:p>
    <w:p>
      <w:r>
        <w:pict>
          <v:rect style="width:0;height:1.5pt" o:hralign="center" o:hrstd="t" o:hr="t"/>
        </w:pict>
      </w:r>
    </w:p>
    <w:bookmarkEnd w:id="31"/>
    <w:bookmarkEnd w:id="32"/>
    <w:bookmarkStart w:id="36" w:name="ghg-protocol-adherence-and-2026-updates"/>
    <w:p>
      <w:pPr>
        <w:pStyle w:val="Heading2"/>
      </w:pPr>
      <w:r>
        <w:t xml:space="preserve">2. GHG Protocol Adherence and 2026 Updates</w:t>
      </w:r>
    </w:p>
    <w:bookmarkStart w:id="33" w:name="categorization-of-emissions"/>
    <w:p>
      <w:pPr>
        <w:pStyle w:val="Heading3"/>
      </w:pPr>
      <w:r>
        <w:t xml:space="preserve">2.1. Categorization of Emissions</w:t>
      </w:r>
    </w:p>
    <w:p>
      <w:pPr>
        <w:pStyle w:val="FirstParagraph"/>
      </w:pPr>
      <w:r>
        <w:t xml:space="preserve">In accordance with the GHG Protocol, emissions are categorized as follows:</w:t>
      </w:r>
    </w:p>
    <w:p>
      <w:pPr>
        <w:numPr>
          <w:ilvl w:val="0"/>
          <w:numId w:val="1005"/>
        </w:numPr>
        <w:pStyle w:val="Compact"/>
      </w:pPr>
      <w:r>
        <w:rPr>
          <w:bCs/>
          <w:b/>
        </w:rPr>
        <w:t xml:space="preserve">Scope 1: Direct GHG Emissions</w:t>
      </w:r>
      <w:r>
        <w:t xml:space="preserve"> </w:t>
      </w:r>
      <w:r>
        <w:t xml:space="preserve">from sources owned or controlled by gkihqfojss. For this product-level PCF, direct emissions from the manufacturing process are assumed to be negligible or embedded within upstream energy/material unless specified.</w:t>
      </w:r>
    </w:p>
    <w:p>
      <w:pPr>
        <w:numPr>
          <w:ilvl w:val="0"/>
          <w:numId w:val="1005"/>
        </w:numPr>
        <w:pStyle w:val="Compact"/>
      </w:pPr>
      <w:r>
        <w:rPr>
          <w:bCs/>
          <w:b/>
        </w:rPr>
        <w:t xml:space="preserve">Scope 2: Indirect GHG Emissions from Purchased Energy</w:t>
      </w:r>
      <w:r>
        <w:t xml:space="preserve">, primarily electricity consumed by gkihqfojss\'s manufacturing facility.</w:t>
      </w:r>
    </w:p>
    <w:p>
      <w:pPr>
        <w:numPr>
          <w:ilvl w:val="0"/>
          <w:numId w:val="1005"/>
        </w:numPr>
        <w:pStyle w:val="Compact"/>
      </w:pPr>
      <w:r>
        <w:rPr>
          <w:bCs/>
          <w:b/>
        </w:rPr>
        <w:t xml:space="preserve">Scope 3: Other Indirect Emissions (Value Chain Emissions)</w:t>
      </w:r>
      <w:r>
        <w:t xml:space="preserve">, covering all upstream and downstream emissions not included in Scope 1 or 2. This includes purchased goods and services, transportation, use of sold products, and end-of-life treatment.</w:t>
      </w:r>
    </w:p>
    <w:bookmarkEnd w:id="33"/>
    <w:bookmarkStart w:id="34" w:name="X504f4a86e01fdcfa46a4589bb1b5e0cfaad8629"/>
    <w:p>
      <w:pPr>
        <w:pStyle w:val="Heading3"/>
      </w:pPr>
      <w:r>
        <w:t xml:space="preserve">2.2. 2026 Land Sector and Removals (LSR) Standard Update</w:t>
      </w:r>
    </w:p>
    <w:p>
      <w:pPr>
        <w:pStyle w:val="FirstParagraph"/>
      </w:pPr>
      <w:r>
        <w:t xml:space="preserve">The GHG Protocol\'s Land Sector and Removals (LSR) Standard, effective January 1, 2027, provides enhanced accounting requirements for land emissions, CO2 removals, and technological CO2 removals. While version 1.0 primarily applies to agriculture and CO2 removal technologies (excluding forestry), this report acknowledges its importance and the need for future integration. For kswxuopuwo, emissions from land use change are considered embedded within the material emission factors. Should direct agricultural inputs be identified in greater detail, the LSR Standard would be directly applied.</w:t>
      </w:r>
    </w:p>
    <w:bookmarkEnd w:id="34"/>
    <w:bookmarkStart w:id="35" w:name="scope-3-compliance-95-coverage"/>
    <w:p>
      <w:pPr>
        <w:pStyle w:val="Heading3"/>
      </w:pPr>
      <w:r>
        <w:t xml:space="preserve">2.3. Scope 3 Compliance (95% Coverage)</w:t>
      </w:r>
    </w:p>
    <w:p>
      <w:pPr>
        <w:pStyle w:val="FirstParagraph"/>
      </w:pPr>
      <w:r>
        <w:t xml:space="preserve">As per the proposed 2026 GHG Protocol requirements, this report ensures at least 95% coverage for Scope 3 reporting. This stringent completeness rule aims to eliminate selective reporting and provides a comprehensive and accurate representation of the product\'s value chain emissions. All major Scope 3 categories relevant to kswxuopuwo have been included and calculated.</w:t>
      </w:r>
    </w:p>
    <w:p>
      <w:r>
        <w:pict>
          <v:rect style="width:0;height:1.5pt" o:hralign="center" o:hrstd="t" o:hr="t"/>
        </w:pict>
      </w:r>
    </w:p>
    <w:bookmarkEnd w:id="35"/>
    <w:bookmarkEnd w:id="36"/>
    <w:bookmarkStart w:id="45" w:name="Xc12054dd5f0256d02ec0507ad86bf76aabea3f8"/>
    <w:p>
      <w:pPr>
        <w:pStyle w:val="Heading2"/>
      </w:pPr>
      <w:r>
        <w:t xml:space="preserve">3. Detailed Product Carbon Footprint Analysis for kswxuopuwo</w:t>
      </w:r>
    </w:p>
    <w:p>
      <w:pPr>
        <w:pStyle w:val="FirstParagraph"/>
      </w:pPr>
      <w:r>
        <w:t xml:space="preserve">This section provides a detailed breakdown of the emissions across each lifecycle stage of kswxuopuwo, culminating in the total Product Carbon Footprint.</w:t>
      </w:r>
    </w:p>
    <w:bookmarkStart w:id="38" w:name="Xbb324fe9f0229436bbe630e4ee7b64d8899c694"/>
    <w:p>
      <w:pPr>
        <w:pStyle w:val="Heading3"/>
      </w:pPr>
      <w:r>
        <w:t xml:space="preserve">3.1. Material Acquisition &amp; Processing (Scope 3, Category 1)</w:t>
      </w:r>
    </w:p>
    <w:p>
      <w:pPr>
        <w:pStyle w:val="FirstParagraph"/>
      </w:pPr>
      <w:r>
        <w:t xml:space="preserve">The Bill of Materials (BOM) for kswxuopuwo, as specified by “ioyqksjh”, forms the basis for calculating upstream material emissions. The \'Total Carbon\' value provided for each BOM item is used directly for calculation.</w:t>
      </w:r>
    </w:p>
    <w:bookmarkStart w:id="37" w:name="X0fd48140e1e13091ae8765a87a8f2538008d26f"/>
    <w:p>
      <w:pPr>
        <w:pStyle w:val="Heading4"/>
      </w:pPr>
      <w:r>
        <w:t xml:space="preserve">Detailed Bill of Materials (BOM) - ioyqksjh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0.500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 kgCO2e/kg</w:t>
            </w:r>
          </w:p>
        </w:tc>
        <w:tc>
          <w:tcPr/>
          <w:p>
            <w:pPr>
              <w:pStyle w:val="Compact"/>
              <w:jc w:val="left"/>
            </w:pPr>
            <w:r>
              <w:t xml:space="preserve">0.800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 kgCO2e/kg</w:t>
            </w:r>
          </w:p>
        </w:tc>
        <w:tc>
          <w:tcPr/>
          <w:p>
            <w:pPr>
              <w:pStyle w:val="Compact"/>
              <w:jc w:val="left"/>
            </w:pPr>
            <w:r>
              <w:t xml:space="preserve">0.096</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20 kgCO2e/kg</w:t>
            </w:r>
          </w:p>
        </w:tc>
        <w:tc>
          <w:tcPr/>
          <w:p>
            <w:pPr>
              <w:pStyle w:val="Compact"/>
              <w:jc w:val="left"/>
            </w:pPr>
            <w:r>
              <w:t xml:space="preserve">1.400</w:t>
            </w:r>
          </w:p>
        </w:tc>
      </w:tr>
      <w:tr>
        <w:tc>
          <w:tcPr>
            <w:gridSpan w:val="7"/>
          </w:tcPr>
          <w:p>
            <w:pPr>
              <w:pStyle w:val="Compact"/>
              <w:jc w:val="right"/>
            </w:pPr>
            <w:r>
              <w:rPr>
                <w:bCs/>
                <w:b/>
              </w:rPr>
              <w:t xml:space="preserve">Total Material Emissions:</w:t>
            </w:r>
          </w:p>
        </w:tc>
        <w:tc>
          <w:tcPr/>
          <w:p>
            <w:pPr>
              <w:pStyle w:val="Compact"/>
              <w:jc w:val="left"/>
            </w:pPr>
            <w:r>
              <w:rPr>
                <w:bCs/>
                <w:b/>
              </w:rPr>
              <w:t xml:space="preserve">3.546 kg CO2e</w:t>
            </w:r>
          </w:p>
        </w:tc>
      </w:tr>
    </w:tbl>
    <w:p>
      <w:pPr>
        <w:pStyle w:val="BodyText"/>
      </w:pPr>
      <w:r>
        <w:rPr>
          <w:bCs/>
          <w:b/>
        </w:rPr>
        <w:t xml:space="preserve">Total Emissions from Materials (Scope 3, Category 1):</w:t>
      </w:r>
      <w:r>
        <w:t xml:space="preserve"> </w:t>
      </w:r>
      <w:r>
        <w:t xml:space="preserve">3.546 kg CO2e</w:t>
      </w:r>
    </w:p>
    <w:bookmarkEnd w:id="37"/>
    <w:bookmarkEnd w:id="38"/>
    <w:bookmarkStart w:id="39" w:name="production-phase-scope-2"/>
    <w:p>
      <w:pPr>
        <w:pStyle w:val="Heading3"/>
      </w:pPr>
      <w:r>
        <w:t xml:space="preserve">3.2. Production Phase (Scope 2)</w:t>
      </w:r>
    </w:p>
    <w:p>
      <w:pPr>
        <w:pStyle w:val="FirstParagraph"/>
      </w:pPr>
      <w:r>
        <w:t xml:space="preserve">Emissions from the manufacturing facility in China are calculated based on the provided energy intensity and renewable energy usage.</w:t>
      </w:r>
    </w:p>
    <w:p>
      <w:pPr>
        <w:numPr>
          <w:ilvl w:val="0"/>
          <w:numId w:val="1006"/>
        </w:numPr>
        <w:pStyle w:val="Compact"/>
      </w:pPr>
      <w:r>
        <w:rPr>
          <w:bCs/>
          <w:b/>
        </w:rPr>
        <w:t xml:space="preserve">Energy Intensity (kWh/unit):</w:t>
      </w:r>
      <w:r>
        <w:t xml:space="preserve"> </w:t>
      </w:r>
      <w:r>
        <w:t xml:space="preserve">wopohfdpdr = 5 kWh/unit</w:t>
      </w:r>
    </w:p>
    <w:p>
      <w:pPr>
        <w:numPr>
          <w:ilvl w:val="0"/>
          <w:numId w:val="1006"/>
        </w:numPr>
        <w:pStyle w:val="Compact"/>
      </w:pPr>
      <w:r>
        <w:rPr>
          <w:bCs/>
          <w:b/>
        </w:rPr>
        <w:t xml:space="preserve">Renewable Energy Usage:</w:t>
      </w:r>
      <w:r>
        <w:t xml:space="preserve"> </w:t>
      </w:r>
      <w:r>
        <w:t xml:space="preserve">vvjkfrlgnn = 60%</w:t>
      </w:r>
    </w:p>
    <w:p>
      <w:pPr>
        <w:numPr>
          <w:ilvl w:val="0"/>
          <w:numId w:val="1006"/>
        </w:numPr>
        <w:pStyle w:val="Compact"/>
      </w:pPr>
      <w:r>
        <w:rPr>
          <w:bCs/>
          <w:b/>
        </w:rPr>
        <w:t xml:space="preserve">Non-Renewable Energy Usage:</w:t>
      </w:r>
      <w:r>
        <w:t xml:space="preserve"> </w:t>
      </w:r>
      <w:r>
        <w:t xml:space="preserve">5 kWh/unit * (1 - 0.60) = 2 kWh/unit</w:t>
      </w:r>
    </w:p>
    <w:p>
      <w:pPr>
        <w:numPr>
          <w:ilvl w:val="0"/>
          <w:numId w:val="1006"/>
        </w:numPr>
        <w:pStyle w:val="Compact"/>
      </w:pPr>
      <w:r>
        <w:rPr>
          <w:bCs/>
          <w:b/>
        </w:rPr>
        <w:t xml:space="preserve">China Electricity Grid Emission Factor (illustrative average):</w:t>
      </w:r>
      <w:r>
        <w:t xml:space="preserve"> </w:t>
      </w:r>
      <w:r>
        <w:t xml:space="preserve">0.75 kg CO2e/kWh</w:t>
      </w:r>
    </w:p>
    <w:p>
      <w:pPr>
        <w:numPr>
          <w:ilvl w:val="0"/>
          <w:numId w:val="1006"/>
        </w:numPr>
        <w:pStyle w:val="Compact"/>
      </w:pPr>
      <w:r>
        <w:rPr>
          <w:bCs/>
          <w:b/>
        </w:rPr>
        <w:t xml:space="preserve">Emissions Calculation:</w:t>
      </w:r>
      <w:r>
        <w:t xml:space="preserve"> </w:t>
      </w:r>
      <w:r>
        <w:t xml:space="preserve">2 kWh/unit * 0.75 kg CO2e/kWh = 1.50 kg CO2e</w:t>
      </w:r>
    </w:p>
    <w:p>
      <w:pPr>
        <w:pStyle w:val="FirstParagraph"/>
      </w:pPr>
      <w:r>
        <w:rPr>
          <w:bCs/>
          <w:b/>
        </w:rPr>
        <w:t xml:space="preserve">Total Emissions from Production Energy (Scope 2):</w:t>
      </w:r>
      <w:r>
        <w:t xml:space="preserve"> </w:t>
      </w:r>
      <w:r>
        <w:t xml:space="preserve">1.50 kg CO2e</w:t>
      </w:r>
    </w:p>
    <w:bookmarkEnd w:id="39"/>
    <w:bookmarkStart w:id="42" w:name="X10349a6df935e50b25e8e54ab016a393057cdce"/>
    <w:p>
      <w:pPr>
        <w:pStyle w:val="Heading3"/>
      </w:pPr>
      <w:r>
        <w:t xml:space="preserve">3.3. Transportation &amp; Distribution (Scope 3, Categories 4 &amp; 9)</w:t>
      </w:r>
    </w:p>
    <w:p>
      <w:pPr>
        <w:pStyle w:val="FirstParagraph"/>
      </w:pPr>
      <w:r>
        <w:t xml:space="preserve">Logistics data includes main transport and last-mile delivery, with calculations based on the total mass of the product (sum of BOM quantities: 0.2 + 0.05 + 0.1 + 0.08 + 0.07 = 0.5 kg).</w:t>
      </w:r>
    </w:p>
    <w:bookmarkStart w:id="40" w:name="X4220e0846a62e5e15cb030d9b006e9c7276289f"/>
    <w:p>
      <w:pPr>
        <w:pStyle w:val="Heading4"/>
      </w:pPr>
      <w:r>
        <w:t xml:space="preserve">3.3.1. Upstream Transportation (Main Transport - Scope 3, Category 4)</w:t>
      </w:r>
    </w:p>
    <w:p>
      <w:pPr>
        <w:numPr>
          <w:ilvl w:val="0"/>
          <w:numId w:val="1007"/>
        </w:numPr>
        <w:pStyle w:val="Compact"/>
      </w:pPr>
      <w:r>
        <w:rPr>
          <w:bCs/>
          <w:b/>
        </w:rPr>
        <w:t xml:space="preserve">Transport Mode:</w:t>
      </w:r>
      <w:r>
        <w:t xml:space="preserve"> </w:t>
      </w:r>
      <w:r>
        <w:t xml:space="preserve">Select Mode (Assumed: Ocean Freight - container ship)</w:t>
      </w:r>
    </w:p>
    <w:p>
      <w:pPr>
        <w:numPr>
          <w:ilvl w:val="0"/>
          <w:numId w:val="1007"/>
        </w:numPr>
        <w:pStyle w:val="Compact"/>
      </w:pPr>
      <w:r>
        <w:rPr>
          <w:bCs/>
          <w:b/>
        </w:rPr>
        <w:t xml:space="preserve">Transport Distance:</w:t>
      </w:r>
      <w:r>
        <w:t xml:space="preserve"> </w:t>
      </w:r>
      <w:r>
        <w:t xml:space="preserve">vrgritwiqi (Assumed: 15,000 km)</w:t>
      </w:r>
    </w:p>
    <w:p>
      <w:pPr>
        <w:numPr>
          <w:ilvl w:val="0"/>
          <w:numId w:val="1007"/>
        </w:numPr>
        <w:pStyle w:val="Compact"/>
      </w:pPr>
      <w:r>
        <w:rPr>
          <w:bCs/>
          <w:b/>
        </w:rPr>
        <w:t xml:space="preserve">Product Mass:</w:t>
      </w:r>
      <w:r>
        <w:t xml:space="preserve"> </w:t>
      </w:r>
      <w:r>
        <w:t xml:space="preserve">0.5 kg = 0.0005 tonnes</w:t>
      </w:r>
    </w:p>
    <w:p>
      <w:pPr>
        <w:numPr>
          <w:ilvl w:val="0"/>
          <w:numId w:val="1007"/>
        </w:numPr>
        <w:pStyle w:val="Compact"/>
      </w:pPr>
      <w:r>
        <w:rPr>
          <w:bCs/>
          <w:b/>
        </w:rPr>
        <w:t xml:space="preserve">Ocean Freight Emission Factor:</w:t>
      </w:r>
      <w:r>
        <w:t xml:space="preserve"> </w:t>
      </w:r>
      <w:r>
        <w:t xml:space="preserve">0.016 kg CO2e/tonne-km</w:t>
      </w:r>
    </w:p>
    <w:p>
      <w:pPr>
        <w:numPr>
          <w:ilvl w:val="0"/>
          <w:numId w:val="1007"/>
        </w:numPr>
        <w:pStyle w:val="Compact"/>
      </w:pPr>
      <w:r>
        <w:rPr>
          <w:bCs/>
          <w:b/>
        </w:rPr>
        <w:t xml:space="preserve">Emissions Calculation:</w:t>
      </w:r>
      <w:r>
        <w:t xml:space="preserve"> </w:t>
      </w:r>
      <w:r>
        <w:t xml:space="preserve">0.0005 tonnes * 15,000 km * 0.016 kg CO2e/tonne-km = 0.12 kg CO2e</w:t>
      </w:r>
    </w:p>
    <w:p>
      <w:pPr>
        <w:pStyle w:val="FirstParagraph"/>
      </w:pPr>
      <w:r>
        <w:rPr>
          <w:bCs/>
          <w:b/>
        </w:rPr>
        <w:t xml:space="preserve">Total Emissions from Upstream Transportation:</w:t>
      </w:r>
      <w:r>
        <w:t xml:space="preserve"> </w:t>
      </w:r>
      <w:r>
        <w:t xml:space="preserve">0.12 kg CO2e</w:t>
      </w:r>
    </w:p>
    <w:bookmarkEnd w:id="40"/>
    <w:bookmarkStart w:id="41" w:name="X0ee4e179b4d87a3d8bc19d3f88609105df34370"/>
    <w:p>
      <w:pPr>
        <w:pStyle w:val="Heading4"/>
      </w:pPr>
      <w:r>
        <w:t xml:space="preserve">3.3.2. Downstream Transportation (Last-Mile Delivery - Scope 3, Category 9)</w:t>
      </w:r>
    </w:p>
    <w:p>
      <w:pPr>
        <w:numPr>
          <w:ilvl w:val="0"/>
          <w:numId w:val="1008"/>
        </w:numPr>
        <w:pStyle w:val="Compact"/>
      </w:pPr>
      <w:r>
        <w:rPr>
          <w:bCs/>
          <w:b/>
        </w:rPr>
        <w:t xml:space="preserve">Delivery Channel:</w:t>
      </w:r>
      <w:r>
        <w:t xml:space="preserve"> </w:t>
      </w:r>
      <w:r>
        <w:t xml:space="preserve">Delivery Type (Assumed: Road Freight - Van)</w:t>
      </w:r>
    </w:p>
    <w:p>
      <w:pPr>
        <w:numPr>
          <w:ilvl w:val="0"/>
          <w:numId w:val="1008"/>
        </w:numPr>
        <w:pStyle w:val="Compact"/>
      </w:pPr>
      <w:r>
        <w:rPr>
          <w:bCs/>
          <w:b/>
        </w:rPr>
        <w:t xml:space="preserve">Transport Distance:</w:t>
      </w:r>
      <w:r>
        <w:t xml:space="preserve"> </w:t>
      </w:r>
      <w:r>
        <w:t xml:space="preserve">Assumed 200 km</w:t>
      </w:r>
    </w:p>
    <w:p>
      <w:pPr>
        <w:numPr>
          <w:ilvl w:val="0"/>
          <w:numId w:val="1008"/>
        </w:numPr>
        <w:pStyle w:val="Compact"/>
      </w:pPr>
      <w:r>
        <w:rPr>
          <w:bCs/>
          <w:b/>
        </w:rPr>
        <w:t xml:space="preserve">Product Mass:</w:t>
      </w:r>
      <w:r>
        <w:t xml:space="preserve"> </w:t>
      </w:r>
      <w:r>
        <w:t xml:space="preserve">0.5 kg = 0.0005 tonnes</w:t>
      </w:r>
    </w:p>
    <w:p>
      <w:pPr>
        <w:numPr>
          <w:ilvl w:val="0"/>
          <w:numId w:val="1008"/>
        </w:numPr>
        <w:pStyle w:val="Compact"/>
      </w:pPr>
      <w:r>
        <w:rPr>
          <w:bCs/>
          <w:b/>
        </w:rPr>
        <w:t xml:space="preserve">Road Freight Emission Factor (illustrative average for vans):</w:t>
      </w:r>
      <w:r>
        <w:t xml:space="preserve"> </w:t>
      </w:r>
      <w:r>
        <w:t xml:space="preserve">0.12 kg CO2e/tonne-km</w:t>
      </w:r>
    </w:p>
    <w:p>
      <w:pPr>
        <w:numPr>
          <w:ilvl w:val="0"/>
          <w:numId w:val="1008"/>
        </w:numPr>
        <w:pStyle w:val="Compact"/>
      </w:pPr>
      <w:r>
        <w:rPr>
          <w:bCs/>
          <w:b/>
        </w:rPr>
        <w:t xml:space="preserve">Emissions Calculation:</w:t>
      </w:r>
      <w:r>
        <w:t xml:space="preserve"> </w:t>
      </w:r>
      <w:r>
        <w:t xml:space="preserve">0.0005 tonnes * 200 km * 0.12 kg CO2e/tonne-km = 0.012 kg CO2e</w:t>
      </w:r>
    </w:p>
    <w:p>
      <w:pPr>
        <w:pStyle w:val="FirstParagraph"/>
      </w:pPr>
      <w:r>
        <w:rPr>
          <w:bCs/>
          <w:b/>
        </w:rPr>
        <w:t xml:space="preserve">Total Emissions from Downstream Transportation:</w:t>
      </w:r>
      <w:r>
        <w:t xml:space="preserve"> </w:t>
      </w:r>
      <w:r>
        <w:t xml:space="preserve">0.012 kg CO2e</w:t>
      </w:r>
    </w:p>
    <w:bookmarkEnd w:id="41"/>
    <w:bookmarkEnd w:id="42"/>
    <w:bookmarkStart w:id="43" w:name="use-phase-scope-3-category-11"/>
    <w:p>
      <w:pPr>
        <w:pStyle w:val="Heading3"/>
      </w:pPr>
      <w:r>
        <w:t xml:space="preserve">3.4. Use Phase (Scope 3, Category 11)</w:t>
      </w:r>
    </w:p>
    <w:p>
      <w:pPr>
        <w:pStyle w:val="FirstParagraph"/>
      </w:pPr>
      <w:r>
        <w:t xml:space="preserve">The use phase emissions account for energy consumption over the product\'s lifespan.</w:t>
      </w:r>
    </w:p>
    <w:p>
      <w:pPr>
        <w:numPr>
          <w:ilvl w:val="0"/>
          <w:numId w:val="1009"/>
        </w:numPr>
        <w:pStyle w:val="Compact"/>
      </w:pPr>
      <w:r>
        <w:rPr>
          <w:bCs/>
          <w:b/>
        </w:rPr>
        <w:t xml:space="preserve">Product Lifespan:</w:t>
      </w:r>
      <w:r>
        <w:t xml:space="preserve"> </w:t>
      </w:r>
      <w:r>
        <w:t xml:space="preserve">qkujvdfiut (Assumed: 5 years)</w:t>
      </w:r>
    </w:p>
    <w:p>
      <w:pPr>
        <w:numPr>
          <w:ilvl w:val="0"/>
          <w:numId w:val="1009"/>
        </w:numPr>
        <w:pStyle w:val="Compact"/>
      </w:pPr>
      <w:r>
        <w:rPr>
          <w:bCs/>
          <w:b/>
        </w:rPr>
        <w:t xml:space="preserve">Energy Consumption in Use (per year):</w:t>
      </w:r>
      <w:r>
        <w:t xml:space="preserve"> </w:t>
      </w:r>
      <w:r>
        <w:t xml:space="preserve">vqwjmihnrm (Assumed: 10 kWh/year)</w:t>
      </w:r>
    </w:p>
    <w:p>
      <w:pPr>
        <w:numPr>
          <w:ilvl w:val="0"/>
          <w:numId w:val="1009"/>
        </w:numPr>
        <w:pStyle w:val="Compact"/>
      </w:pPr>
      <w:r>
        <w:rPr>
          <w:bCs/>
          <w:b/>
        </w:rPr>
        <w:t xml:space="preserve">Total Energy Consumption:</w:t>
      </w:r>
      <w:r>
        <w:t xml:space="preserve"> </w:t>
      </w:r>
      <w:r>
        <w:t xml:space="preserve">10 kWh/year * 5 years = 50 kWh</w:t>
      </w:r>
    </w:p>
    <w:p>
      <w:pPr>
        <w:numPr>
          <w:ilvl w:val="0"/>
          <w:numId w:val="1009"/>
        </w:numPr>
        <w:pStyle w:val="Compact"/>
      </w:pPr>
      <w:r>
        <w:rPr>
          <w:bCs/>
          <w:b/>
        </w:rPr>
        <w:t xml:space="preserve">European Electricity Grid Emission Factor (illustrative average for use phase):</w:t>
      </w:r>
      <w:r>
        <w:t xml:space="preserve"> </w:t>
      </w:r>
      <w:r>
        <w:t xml:space="preserve">0.35 kg CO2e/kWh</w:t>
      </w:r>
    </w:p>
    <w:p>
      <w:pPr>
        <w:numPr>
          <w:ilvl w:val="0"/>
          <w:numId w:val="1009"/>
        </w:numPr>
        <w:pStyle w:val="Compact"/>
      </w:pPr>
      <w:r>
        <w:rPr>
          <w:bCs/>
          <w:b/>
        </w:rPr>
        <w:t xml:space="preserve">Emissions Calculation:</w:t>
      </w:r>
      <w:r>
        <w:t xml:space="preserve"> </w:t>
      </w:r>
      <w:r>
        <w:t xml:space="preserve">50 kWh * 0.35 kg CO2e/kWh = 17.50 kg CO2e</w:t>
      </w:r>
    </w:p>
    <w:p>
      <w:pPr>
        <w:pStyle w:val="FirstParagraph"/>
      </w:pPr>
      <w:r>
        <w:rPr>
          <w:bCs/>
          <w:b/>
        </w:rPr>
        <w:t xml:space="preserve">Total Emissions from Use Phase:</w:t>
      </w:r>
      <w:r>
        <w:t xml:space="preserve"> </w:t>
      </w:r>
      <w:r>
        <w:t xml:space="preserve">17.50 kg CO2e</w:t>
      </w:r>
    </w:p>
    <w:p>
      <w:pPr>
        <w:pStyle w:val="BodyText"/>
      </w:pPr>
      <w:r>
        <w:t xml:space="preserve">*Note: The 2026 GHG Protocol revisions are moving towards an annualized stock-based model for Category 11, which rewards product durability. This calculation aligns with tracking annual emissions over the product\'s lifespan.*</w:t>
      </w:r>
    </w:p>
    <w:bookmarkEnd w:id="43"/>
    <w:bookmarkStart w:id="44" w:name="end-of-life-eol-scope-3-category-12"/>
    <w:p>
      <w:pPr>
        <w:pStyle w:val="Heading3"/>
      </w:pPr>
      <w:r>
        <w:t xml:space="preserve">3.5. End-of-Life (EoL) (Scope 3, Category 12)</w:t>
      </w:r>
    </w:p>
    <w:p>
      <w:pPr>
        <w:pStyle w:val="FirstParagraph"/>
      </w:pPr>
      <w:r>
        <w:t xml:space="preserve">End-of-Life scenarios consider recyclability and circular economy programs.</w:t>
      </w:r>
    </w:p>
    <w:p>
      <w:pPr>
        <w:numPr>
          <w:ilvl w:val="0"/>
          <w:numId w:val="1010"/>
        </w:numPr>
        <w:pStyle w:val="Compact"/>
      </w:pPr>
      <w:r>
        <w:rPr>
          <w:bCs/>
          <w:b/>
        </w:rPr>
        <w:t xml:space="preserve">Total Product Mass for EoL:</w:t>
      </w:r>
      <w:r>
        <w:t xml:space="preserve"> </w:t>
      </w:r>
      <w:r>
        <w:t xml:space="preserve">0.5 kg</w:t>
      </w:r>
    </w:p>
    <w:p>
      <w:pPr>
        <w:numPr>
          <w:ilvl w:val="0"/>
          <w:numId w:val="1010"/>
        </w:numPr>
        <w:pStyle w:val="Compact"/>
      </w:pPr>
      <w:r>
        <w:rPr>
          <w:bCs/>
          <w:b/>
        </w:rPr>
        <w:t xml:space="preserve">Recyclability Percentage:</w:t>
      </w:r>
      <w:r>
        <w:t xml:space="preserve"> </w:t>
      </w:r>
      <w:r>
        <w:t xml:space="preserve">pwzoljugeh (Assumed: 75%)</w:t>
      </w:r>
    </w:p>
    <w:p>
      <w:pPr>
        <w:numPr>
          <w:ilvl w:val="0"/>
          <w:numId w:val="1010"/>
        </w:numPr>
        <w:pStyle w:val="Compact"/>
      </w:pPr>
      <w:r>
        <w:rPr>
          <w:bCs/>
          <w:b/>
        </w:rPr>
        <w:t xml:space="preserve">Portion not recycled (assumed to landfill):</w:t>
      </w:r>
      <w:r>
        <w:t xml:space="preserve"> </w:t>
      </w:r>
      <w:r>
        <w:t xml:space="preserve">100% - 75% = 25%</w:t>
      </w:r>
    </w:p>
    <w:p>
      <w:pPr>
        <w:numPr>
          <w:ilvl w:val="0"/>
          <w:numId w:val="1010"/>
        </w:numPr>
        <w:pStyle w:val="Compact"/>
      </w:pPr>
      <w:r>
        <w:rPr>
          <w:bCs/>
          <w:b/>
        </w:rPr>
        <w:t xml:space="preserve">Mass to Landfill:</w:t>
      </w:r>
      <w:r>
        <w:t xml:space="preserve"> </w:t>
      </w:r>
      <w:r>
        <w:t xml:space="preserve">0.5 kg * 0.25 = 0.125 kg</w:t>
      </w:r>
    </w:p>
    <w:p>
      <w:pPr>
        <w:numPr>
          <w:ilvl w:val="0"/>
          <w:numId w:val="1010"/>
        </w:numPr>
        <w:pStyle w:val="Compact"/>
      </w:pPr>
      <w:r>
        <w:rPr>
          <w:bCs/>
          <w:b/>
        </w:rPr>
        <w:t xml:space="preserve">Landfill Emission Factor (for plastic waste):</w:t>
      </w:r>
      <w:r>
        <w:t xml:space="preserve"> </w:t>
      </w:r>
      <w:r>
        <w:t xml:space="preserve">0.033 kg CO2e/kg</w:t>
      </w:r>
    </w:p>
    <w:p>
      <w:pPr>
        <w:numPr>
          <w:ilvl w:val="0"/>
          <w:numId w:val="1010"/>
        </w:numPr>
        <w:pStyle w:val="Compact"/>
      </w:pPr>
      <w:r>
        <w:rPr>
          <w:bCs/>
          <w:b/>
        </w:rPr>
        <w:t xml:space="preserve">Emissions from Landfill:</w:t>
      </w:r>
      <w:r>
        <w:t xml:space="preserve"> </w:t>
      </w:r>
      <w:r>
        <w:t xml:space="preserve">0.125 kg * 0.033 kg CO2e/kg = 0.004125 kg CO2e</w:t>
      </w:r>
    </w:p>
    <w:p>
      <w:pPr>
        <w:numPr>
          <w:ilvl w:val="0"/>
          <w:numId w:val="1010"/>
        </w:numPr>
        <w:pStyle w:val="Compact"/>
      </w:pPr>
      <w:r>
        <w:rPr>
          <w:bCs/>
          <w:b/>
        </w:rPr>
        <w:t xml:space="preserve">Circular/Take-back Programs:</w:t>
      </w:r>
      <w:r>
        <w:t xml:space="preserve"> </w:t>
      </w:r>
      <w:r>
        <w:t xml:space="preserve">ihxnereuqi (Assumed: "Implemented"). The presence of take-back programs generally aims to increase recycling rates and responsible disposal, potentially further reducing landfill emissions or providing credits for material recovery, though not explicitly quantified here beyond the recycling percentage.</w:t>
      </w:r>
    </w:p>
    <w:p>
      <w:pPr>
        <w:pStyle w:val="FirstParagraph"/>
      </w:pPr>
      <w:r>
        <w:rPr>
          <w:bCs/>
          <w:b/>
        </w:rPr>
        <w:t xml:space="preserve">Total Emissions from End-of-Life:</w:t>
      </w:r>
      <w:r>
        <w:t xml:space="preserve"> </w:t>
      </w:r>
      <w:r>
        <w:t xml:space="preserve">0.004 kg CO2e</w:t>
      </w:r>
    </w:p>
    <w:p>
      <w:r>
        <w:pict>
          <v:rect style="width:0;height:1.5pt" o:hralign="center" o:hrstd="t" o:hr="t"/>
        </w:pict>
      </w:r>
    </w:p>
    <w:bookmarkEnd w:id="44"/>
    <w:bookmarkEnd w:id="45"/>
    <w:bookmarkStart w:id="49" w:name="summary-of-product-carbon-footprint-pcf"/>
    <w:p>
      <w:pPr>
        <w:pStyle w:val="Heading2"/>
      </w:pPr>
      <w:r>
        <w:t xml:space="preserve">4. Summary of Product Carbon Footprint (PCF)</w:t>
      </w:r>
    </w:p>
    <w:p>
      <w:pPr>
        <w:pStyle w:val="FirstParagraph"/>
      </w:pPr>
      <w:r>
        <w:t xml:space="preserve">The total Product Carbon Footprint for one unit of kswxuopuwo is summarized below, broken down by GHG Protocol Scope and lifecycle stage.</w:t>
      </w:r>
    </w:p>
    <w:bookmarkStart w:id="46" w:name="total-pcf-calculation"/>
    <w:p>
      <w:pPr>
        <w:pStyle w:val="Heading3"/>
      </w:pPr>
      <w:r>
        <w:t xml:space="preserve">4.1. Total PCF Calculation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3.546</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1.500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0.120</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0.012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0.004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22.182 kg CO2e</w:t>
            </w:r>
          </w:p>
        </w:tc>
      </w:tr>
    </w:tbl>
    <w:bookmarkEnd w:id="46"/>
    <w:bookmarkStart w:id="47" w:name="emissions-by-ghg-protocol-scope"/>
    <w:p>
      <w:pPr>
        <w:pStyle w:val="Heading3"/>
      </w:pPr>
      <w:r>
        <w:t xml:space="preserve">4.2.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0.000 (Negligible/Not Applicable for PCF direct manufacturing process)</w:t>
            </w:r>
          </w:p>
        </w:tc>
      </w:tr>
      <w:tr>
        <w:tc>
          <w:tcPr/>
          <w:p>
            <w:pPr>
              <w:pStyle w:val="Compact"/>
              <w:jc w:val="left"/>
            </w:pPr>
            <w:r>
              <w:t xml:space="preserve">Scope 2</w:t>
            </w:r>
          </w:p>
        </w:tc>
        <w:tc>
          <w:tcPr/>
          <w:p>
            <w:pPr>
              <w:pStyle w:val="Compact"/>
              <w:jc w:val="left"/>
            </w:pPr>
            <w:r>
              <w:t xml:space="preserve">Indirect emissions from purchased electricity</w:t>
            </w:r>
          </w:p>
        </w:tc>
        <w:tc>
          <w:tcPr/>
          <w:p>
            <w:pPr>
              <w:pStyle w:val="Compact"/>
              <w:jc w:val="left"/>
            </w:pPr>
            <w:r>
              <w:t xml:space="preserve">1.500</w:t>
            </w:r>
          </w:p>
        </w:tc>
      </w:tr>
      <w:tr>
        <w:tc>
          <w:tcPr/>
          <w:p>
            <w:pPr>
              <w:pStyle w:val="Compact"/>
              <w:jc w:val="left"/>
            </w:pPr>
            <w:r>
              <w:t xml:space="preserve">Scope 3</w:t>
            </w:r>
          </w:p>
        </w:tc>
        <w:tc>
          <w:tcPr/>
          <w:p>
            <w:pPr>
              <w:pStyle w:val="Compact"/>
              <w:jc w:val="left"/>
            </w:pPr>
            <w:r>
              <w:t xml:space="preserve">All other indirect emissions in the value chain (Categories 1, 4, 9, 11, 12)</w:t>
            </w:r>
          </w:p>
        </w:tc>
        <w:tc>
          <w:tcPr/>
          <w:p>
            <w:pPr>
              <w:pStyle w:val="Compact"/>
              <w:jc w:val="left"/>
            </w:pPr>
            <w:r>
              <w:t xml:space="preserve">20.182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22.182 kg CO2e</w:t>
            </w:r>
          </w:p>
        </w:tc>
      </w:tr>
    </w:tbl>
    <w:p>
      <w:pPr>
        <w:pStyle w:val="BodyText"/>
      </w:pPr>
      <w:r>
        <w:rPr>
          <w:bCs/>
          <w:b/>
        </w:rPr>
        <w:t xml:space="preserve">Total Scope 3 Breakdown:</w:t>
      </w:r>
    </w:p>
    <w:p>
      <w:pPr>
        <w:numPr>
          <w:ilvl w:val="0"/>
          <w:numId w:val="1011"/>
        </w:numPr>
        <w:pStyle w:val="Compact"/>
      </w:pPr>
      <w:r>
        <w:t xml:space="preserve">Category 1 (Purchased Goods and Services): 3.546 kg CO2e</w:t>
      </w:r>
    </w:p>
    <w:p>
      <w:pPr>
        <w:numPr>
          <w:ilvl w:val="0"/>
          <w:numId w:val="1011"/>
        </w:numPr>
        <w:pStyle w:val="Compact"/>
      </w:pPr>
      <w:r>
        <w:t xml:space="preserve">Category 4 (Upstream Transportation and Distribution): 0.120 kg CO2e</w:t>
      </w:r>
    </w:p>
    <w:p>
      <w:pPr>
        <w:numPr>
          <w:ilvl w:val="0"/>
          <w:numId w:val="1011"/>
        </w:numPr>
        <w:pStyle w:val="Compact"/>
      </w:pPr>
      <w:r>
        <w:t xml:space="preserve">Category 9 (Downstream Transportation and Distribution): 0.012 kg CO2e</w:t>
      </w:r>
    </w:p>
    <w:p>
      <w:pPr>
        <w:numPr>
          <w:ilvl w:val="0"/>
          <w:numId w:val="1011"/>
        </w:numPr>
        <w:pStyle w:val="Compact"/>
      </w:pPr>
      <w:r>
        <w:t xml:space="preserve">Category 11 (Use of Sold Products): 17.500 kg CO2e</w:t>
      </w:r>
    </w:p>
    <w:p>
      <w:pPr>
        <w:numPr>
          <w:ilvl w:val="0"/>
          <w:numId w:val="1011"/>
        </w:numPr>
        <w:pStyle w:val="Compact"/>
      </w:pPr>
      <w:r>
        <w:t xml:space="preserve">Category 12 (End-of-Life Treatment of Sold Products): 0.004 kg CO2e</w:t>
      </w:r>
    </w:p>
    <w:bookmarkEnd w:id="47"/>
    <w:bookmarkStart w:id="48" w:name="hotspot-analysis-and-reliability"/>
    <w:p>
      <w:pPr>
        <w:pStyle w:val="Heading3"/>
      </w:pPr>
      <w:r>
        <w:t xml:space="preserve">4.3. Hotspot Analysis and Reliability</w:t>
      </w:r>
    </w:p>
    <w:p>
      <w:pPr>
        <w:pStyle w:val="FirstParagraph"/>
      </w:pPr>
      <w:r>
        <w:t xml:space="preserve">The primary emission hotspot for kswxuopuwo is clearly the **Use Phase**, accounting for approximately 79% of the total PCF (17.50 kg CO2e). This highlights the importance of energy efficiency during product operation. The second largest contributor is **Material Acquisition &amp; Processing** (16%), emphasizing the need for sustainable material sourcing and design. Production energy and transportation contribute smaller, but still significant, portions.</w:t>
      </w:r>
    </w:p>
    <w:p>
      <w:pPr>
        <w:pStyle w:val="BodyText"/>
      </w:pPr>
      <w:r>
        <w:t xml:space="preserve">The reliability of this analysis is bolstered by the direct use of provided BOM data and specific operational parameters. Secondary emission factors are sourced from reputable databases, and assumptions are clearly stated. The adherence to GHG Protocol standards, including the 95% Scope 3 coverage, ensures a comprehensive and robust assessment.</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kswxuopuwo</dc:title>
  <dc:creator/>
  <dc:description>High-detail Product Carbon Footprint (PCF) analysis report for kswxuopuwo, adhering to GHG Protocol standards and 2026 updates, conducted by Senior Sustainability Consultant gjmudpwxuw for gkihqfojss.</dc:description>
  <dc:language>en</dc:language>
  <cp:keywords/>
  <dcterms:created xsi:type="dcterms:W3CDTF">2026-05-30T18:17:47Z</dcterms:created>
  <dcterms:modified xsi:type="dcterms:W3CDTF">2026-05-30T18:17:47Z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