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ksqrzxezzf</w:t>
      </w:r>
    </w:p>
    <w:p>
      <w:pPr>
        <w:pStyle w:val="FirstParagraph"/>
      </w:pPr>
      <w:r>
        <w:rPr>
          <w:bCs/>
          <w:b/>
        </w:rPr>
        <w:t xml:space="preserve">carboncalcpcf.com</w:t>
      </w:r>
    </w:p>
    <w:bookmarkStart w:id="21" w:name="product-carbon-footprint-analysis-report"/>
    <w:p>
      <w:pPr>
        <w:pStyle w:val="Heading1"/>
      </w:pPr>
      <w:r>
        <w:t xml:space="preserve">Product Carbon Footprint Analysis Report</w:t>
      </w:r>
    </w:p>
    <w:bookmarkStart w:id="20" w:name="product-ksqrzxezzf"/>
    <w:p>
      <w:pPr>
        <w:pStyle w:val="Heading2"/>
      </w:pPr>
      <w:r>
        <w:t xml:space="preserve">Product: ksqrzxezzf</w:t>
      </w:r>
    </w:p>
    <w:p>
      <w:pPr>
        <w:pStyle w:val="FirstParagraph"/>
      </w:pPr>
      <w:r>
        <w:rPr>
          <w:bCs/>
          <w:b/>
        </w:rPr>
        <w:t xml:space="preserve">Company Name:</w:t>
      </w:r>
      <w:r>
        <w:t xml:space="preserve"> </w:t>
      </w:r>
      <w:r>
        <w:t xml:space="preserve">lqhsroxfze</w:t>
      </w:r>
    </w:p>
    <w:p>
      <w:pPr>
        <w:pStyle w:val="BodyText"/>
      </w:pPr>
      <w:r>
        <w:rPr>
          <w:bCs/>
          <w:b/>
        </w:rPr>
        <w:t xml:space="preserve">Senior Sustainability Consultant:</w:t>
      </w:r>
      <w:r>
        <w:t xml:space="preserve"> </w:t>
      </w:r>
      <w:r>
        <w:t xml:space="preserve">xinifnviqv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high-level analysis of the product\'s carbon footprint. Actual emissions may vary based on specific operational details and real-time data inputs.</w:t>
      </w:r>
    </w:p>
    <w:bookmarkEnd w:id="20"/>
    <w:bookmarkEnd w:id="21"/>
    <w:bookmarkStart w:id="47" w:name="Xc9b2ad73227d9f2fe988ef93c9a2e09d93675ab"/>
    <w:p>
      <w:pPr>
        <w:pStyle w:val="Heading1"/>
      </w:pPr>
      <w:r>
        <w:t xml:space="preserve">Product Carbon Footprint Analysis Report for ksqrzxezzf</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xinifnviqv</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ksqrzxezzf</w:t>
      </w:r>
      <w:r>
        <w:t xml:space="preserve"> </w:t>
      </w:r>
      <w:r>
        <w:t xml:space="preserve">manufactured by</w:t>
      </w:r>
      <w:r>
        <w:t xml:space="preserve"> </w:t>
      </w:r>
      <w:r>
        <w:rPr>
          <w:bCs/>
          <w:b/>
        </w:rPr>
        <w:t xml:space="preserve">lqhsroxfze</w:t>
      </w:r>
      <w:r>
        <w:t xml:space="preserve">. The analysis adheres to the Greenhouse Gas (GHG) Protocol, including the 2026 Land Sector and Removals (LSR) Standard update and the stringent 95% Scope 3 coverage requirement. The assessment covers the product\'s lifecycle from raw material acquisition to end-of-life, within a factory-gate system boundary, with a geographic scope focused on China for final production and Europe for the supply chain. The objective is to identify greenhouse gas emission hotspots and provide a robust, transparent, and actionable overview of the product\'s environmental impact.</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first step in any Product Carbon Footprint (PCF) analysis is to clearly define the goal and scope of the assessment. This ensures consistency, relevance, and accuracy of the reported results.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ksqrzxezzf</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set as</w:t>
      </w:r>
      <w:r>
        <w:t xml:space="preserve"> </w:t>
      </w:r>
      <w:r>
        <w:rPr>
          <w:bCs/>
          <w:b/>
        </w:rPr>
        <w:t xml:space="preserve">factory_gate</w:t>
      </w:r>
      <w:r>
        <w:t xml:space="preserve">. This means the analysis includes emissions associated with:</w:t>
      </w:r>
    </w:p>
    <w:p>
      <w:pPr>
        <w:numPr>
          <w:ilvl w:val="0"/>
          <w:numId w:val="1001"/>
        </w:numPr>
        <w:pStyle w:val="Compact"/>
      </w:pPr>
      <w:r>
        <w:t xml:space="preserve">Raw material extraction and processing.</w:t>
      </w:r>
    </w:p>
    <w:p>
      <w:pPr>
        <w:numPr>
          <w:ilvl w:val="0"/>
          <w:numId w:val="1001"/>
        </w:numPr>
        <w:pStyle w:val="Compact"/>
      </w:pPr>
      <w:r>
        <w:t xml:space="preserve">Transportation of raw materials and components to the manufacturing facility.</w:t>
      </w:r>
    </w:p>
    <w:p>
      <w:pPr>
        <w:numPr>
          <w:ilvl w:val="0"/>
          <w:numId w:val="1001"/>
        </w:numPr>
        <w:pStyle w:val="Compact"/>
      </w:pPr>
      <w:r>
        <w:t xml:space="preserve">Manufacturing and assembly processes at the production site.</w:t>
      </w:r>
    </w:p>
    <w:p>
      <w:pPr>
        <w:pStyle w:val="FirstParagraph"/>
      </w:pPr>
      <w:r>
        <w:t xml:space="preserve">Emissions from the Use Phase and End-of-Life (EoL) are also considered for a comprehensive understanding, even if outside a strict "factory_gate" boundary, based on the provided parameters.</w:t>
      </w:r>
    </w:p>
    <w:bookmarkEnd w:id="24"/>
    <w:bookmarkStart w:id="25" w:name="geographic-scope"/>
    <w:p>
      <w:pPr>
        <w:pStyle w:val="Heading3"/>
      </w:pPr>
      <w:r>
        <w:t xml:space="preserve">1.3 Geographic Scope</w:t>
      </w:r>
    </w:p>
    <w:p>
      <w:pPr>
        <w:pStyle w:val="FirstParagraph"/>
      </w:pPr>
      <w:r>
        <w:t xml:space="preserve">The geographic scope of the analysis is delineated as follows: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implies that emission factors and energy grids specific to China will be prioritized for manufacturing processes, while upstream supply chain emissions will consider European contexts for material sourcing and intermediate transportation.</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for product lifecycle accounting. The GHG Protocol establishes global standardized frameworks for measuring and managing GHG emissions.</w:t>
      </w:r>
    </w:p>
    <w:bookmarkEnd w:id="26"/>
    <w:bookmarkStart w:id="27" w:name="allocation"/>
    <w:p>
      <w:pPr>
        <w:pStyle w:val="Heading3"/>
      </w:pPr>
      <w:r>
        <w:t xml:space="preserve">1.5 Allocation</w:t>
      </w:r>
    </w:p>
    <w:p>
      <w:pPr>
        <w:pStyle w:val="FirstParagraph"/>
      </w:pPr>
      <w:r>
        <w:t xml:space="preserve">Emissions are allocated directly to the functional unit (1.0 unit of ksqrzxezzf). Where co-products or by-products arise, allocation will follow established GHG Protocol guidance, typically based on physical relationships (e.g., mass, energy content) or economic value, to ensure emissions are fairly attributed to the product under analysis.</w:t>
      </w:r>
    </w:p>
    <w:p>
      <w:r>
        <w:pict>
          <v:rect style="width:0;height:1.5pt" o:hralign="center" o:hrstd="t" o:hr="t"/>
        </w:pict>
      </w:r>
    </w:p>
    <w:bookmarkEnd w:id="27"/>
    <w:bookmarkEnd w:id="28"/>
    <w:bookmarkStart w:id="30" w:name="map-lifecycle-lci-inventory-stages"/>
    <w:p>
      <w:pPr>
        <w:pStyle w:val="Heading2"/>
      </w:pPr>
      <w:r>
        <w:t xml:space="preserve">2. Map Lifecycle (LCI Inventory Stages)</w:t>
      </w:r>
    </w:p>
    <w:p>
      <w:pPr>
        <w:pStyle w:val="FirstParagraph"/>
      </w:pPr>
      <w:r>
        <w:t xml:space="preserve">Mapping the product lifecycle involves identifying all stages that contribute to the product\'s carbon footprint, from raw material acquisition to end-of-life.</w:t>
      </w:r>
    </w:p>
    <w:bookmarkStart w:id="29" w:name="life-cycle-stages-included"/>
    <w:p>
      <w:pPr>
        <w:pStyle w:val="Heading3"/>
      </w:pPr>
      <w:r>
        <w:t xml:space="preserve">2.1 Life Cycle Stages Included</w:t>
      </w:r>
    </w:p>
    <w:p>
      <w:pPr>
        <w:numPr>
          <w:ilvl w:val="0"/>
          <w:numId w:val="1003"/>
        </w:numPr>
        <w:pStyle w:val="Compact"/>
      </w:pPr>
      <w:r>
        <w:rPr>
          <w:bCs/>
          <w:b/>
        </w:rPr>
        <w:t xml:space="preserve">Materials Acquisition &amp; Pre-processing (Upstream / Cradle-to-Gate):</w:t>
      </w:r>
      <w:r>
        <w:t xml:space="preserve"> </w:t>
      </w:r>
      <w:r>
        <w:t xml:space="preserve">This stage includes the extraction of raw materials, their initial processing, and the manufacturing of components. Emissions associated with this stage are typically classified as Scope 3 emissions for</w:t>
      </w:r>
      <w:r>
        <w:t xml:space="preserve"> </w:t>
      </w:r>
      <w:r>
        <w:rPr>
          <w:bCs/>
          <w:b/>
        </w:rPr>
        <w:t xml:space="preserve">lqhsroxfze</w:t>
      </w:r>
      <w:r>
        <w:t xml:space="preserve">.</w:t>
      </w:r>
    </w:p>
    <w:p>
      <w:pPr>
        <w:numPr>
          <w:ilvl w:val="0"/>
          <w:numId w:val="1003"/>
        </w:numPr>
        <w:pStyle w:val="Compact"/>
      </w:pPr>
      <w:r>
        <w:rPr>
          <w:bCs/>
          <w:b/>
        </w:rPr>
        <w:t xml:space="preserve">Manufacturing/Production:</w:t>
      </w:r>
      <w:r>
        <w:t xml:space="preserve"> </w:t>
      </w:r>
      <w:r>
        <w:t xml:space="preserve">This covers all processes at the final production facility in China, including energy consumption, direct emissions from operations (if any), and waste generation. These emissions will include Scope 1 (direct) and Scope 2 (purchased energy) for the manufacturing site, and potentially Scope 3 for waste.</w:t>
      </w:r>
    </w:p>
    <w:p>
      <w:pPr>
        <w:numPr>
          <w:ilvl w:val="0"/>
          <w:numId w:val="1003"/>
        </w:numPr>
        <w:pStyle w:val="Compact"/>
      </w:pPr>
      <w:r>
        <w:rPr>
          <w:bCs/>
          <w:b/>
        </w:rPr>
        <w:t xml:space="preserve">Transport (Inbound &amp; Outbound):</w:t>
      </w:r>
      <w:r>
        <w:t xml:space="preserve"> </w:t>
      </w:r>
      <w:r>
        <w:t xml:space="preserve">This includes transportation of raw materials/components to the manufacturing site (inbound logistics) and distribution of the finished product (outbound logistics), including last-mile delivery. These are typically Scope 3 emissions.</w:t>
      </w:r>
    </w:p>
    <w:p>
      <w:pPr>
        <w:numPr>
          <w:ilvl w:val="0"/>
          <w:numId w:val="1003"/>
        </w:numPr>
        <w:pStyle w:val="Compact"/>
      </w:pPr>
      <w:r>
        <w:rPr>
          <w:bCs/>
          <w:b/>
        </w:rPr>
        <w:t xml:space="preserve">Use Phase:</w:t>
      </w:r>
      <w:r>
        <w:t xml:space="preserve"> </w:t>
      </w:r>
      <w:r>
        <w:t xml:space="preserve">This stage accounts for emissions generated during the product\'s expected lifespan, including energy consumption by the end-user. These are typically downstream Scope 3 emissions.</w:t>
      </w:r>
    </w:p>
    <w:p>
      <w:pPr>
        <w:numPr>
          <w:ilvl w:val="0"/>
          <w:numId w:val="1003"/>
        </w:numPr>
        <w:pStyle w:val="Compact"/>
      </w:pPr>
      <w:r>
        <w:rPr>
          <w:bCs/>
          <w:b/>
        </w:rPr>
        <w:t xml:space="preserve">End-of-Life (EoL):</w:t>
      </w:r>
      <w:r>
        <w:t xml:space="preserve"> </w:t>
      </w:r>
      <w:r>
        <w:t xml:space="preserve">This stage covers the disposal, recycling, or recovery of the product and its components at the end of its useful life. These are also downstream Scope 3 emissions.</w:t>
      </w:r>
    </w:p>
    <w:p>
      <w:r>
        <w:pict>
          <v:rect style="width:0;height:1.5pt" o:hralign="center" o:hrstd="t" o:hr="t"/>
        </w:pict>
      </w:r>
    </w:p>
    <w:bookmarkEnd w:id="29"/>
    <w:bookmarkEnd w:id="30"/>
    <w:bookmarkStart w:id="37" w:name="Xb57f50a89bf1f3f1837369be949d9d60d6c1272"/>
    <w:p>
      <w:pPr>
        <w:pStyle w:val="Heading2"/>
      </w:pPr>
      <w:r>
        <w:t xml:space="preserve">3. Collect Data (Primary/Secondary Data Points)</w:t>
      </w:r>
    </w:p>
    <w:p>
      <w:pPr>
        <w:pStyle w:val="FirstParagraph"/>
      </w:pPr>
      <w:r>
        <w:t xml:space="preserve">Accurate data collection is fundamental for a reliable PCF. This analysis integrates both primary data (specific to</w:t>
      </w:r>
      <w:r>
        <w:t xml:space="preserve"> </w:t>
      </w:r>
      <w:r>
        <w:rPr>
          <w:bCs/>
          <w:b/>
        </w:rPr>
        <w:t xml:space="preserve">lqhsroxfze</w:t>
      </w:r>
      <w:r>
        <w:t xml:space="preserve">\'s operations and supply chain parameters) and secondary data (industry-average emission factors).</w:t>
      </w:r>
    </w:p>
    <w:bookmarkStart w:id="31" w:name="X049d0d4d51d2b59d9d941a58c09b3a85ed90d6a"/>
    <w:p>
      <w:pPr>
        <w:pStyle w:val="Heading3"/>
      </w:pPr>
      <w:r>
        <w:t xml:space="preserve">3.1 Detailed Bill of Materials (BOM) - kvirrhgk</w:t>
      </w:r>
    </w:p>
    <w:p>
      <w:pPr>
        <w:pStyle w:val="FirstParagraph"/>
      </w:pPr>
      <w:r>
        <w:t xml:space="preserve">The Bill of Materials (BOM) is a critical input for calculating the material impact. For</w:t>
      </w:r>
      <w:r>
        <w:t xml:space="preserve"> </w:t>
      </w:r>
      <w:r>
        <w:rPr>
          <w:bCs/>
          <w:b/>
        </w:rPr>
        <w:t xml:space="preserve">ksqrzxezzf</w:t>
      </w:r>
      <w:r>
        <w:t xml:space="preserve">, the detailed BOM data, identified as</w:t>
      </w:r>
      <w:r>
        <w:t xml:space="preserve"> </w:t>
      </w:r>
      <w:r>
        <w:rPr>
          <w:bCs/>
          <w:b/>
        </w:rPr>
        <w:t xml:space="preserve">kvirrhgk</w:t>
      </w:r>
      <w:r>
        <w:t xml:space="preserve">, is utilized for high-accuracy material impact calculation. The BOM data provided follows this format for each item: ID, Description, Category, Process, Qty, Unit, Emission Factor, Total Carbon. While the literal string `kvirrhgk` is a placeholder, a detailed BOM structured in this manner would be processed as follows (illustrative example based on the expected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(Illustrative)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Recycling, Melting,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 kg CO2e/kg</w:t>
            </w:r>
          </w:p>
        </w:tc>
        <w:tc>
          <w:tcPr/>
          <w:p>
            <w:pPr>
              <w:pStyle w:val="Compact"/>
              <w:jc w:val="left"/>
            </w:pPr>
            <w:r>
              <w:t xml:space="preserve">2.5 kg CO2e</w:t>
            </w:r>
          </w:p>
        </w:tc>
      </w:tr>
      <w:tr>
        <w:tc>
          <w:tcPr/>
          <w:p>
            <w:pPr>
              <w:pStyle w:val="Compact"/>
              <w:jc w:val="left"/>
            </w:pPr>
            <w:r>
              <w:t xml:space="preserve">P002</w:t>
            </w:r>
          </w:p>
        </w:tc>
        <w:tc>
          <w:tcPr/>
          <w:p>
            <w:pPr>
              <w:pStyle w:val="Compact"/>
              <w:jc w:val="left"/>
            </w:pPr>
            <w:r>
              <w:t xml:space="preserve">Virgin ABS Plastic</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 CO2e/kg</w:t>
            </w:r>
          </w:p>
        </w:tc>
        <w:tc>
          <w:tcPr/>
          <w:p>
            <w:pPr>
              <w:pStyle w:val="Compact"/>
              <w:jc w:val="left"/>
            </w:pPr>
            <w:r>
              <w:t xml:space="preserve">1.05 kg CO2e</w:t>
            </w:r>
          </w:p>
        </w:tc>
      </w:tr>
      <w:tr>
        <w:tc>
          <w:tcPr/>
          <w:p>
            <w:pPr>
              <w:pStyle w:val="Compact"/>
              <w:jc w:val="left"/>
            </w:pPr>
            <w:r>
              <w:t xml:space="preserve">S003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Wafer Fabrication, 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 kg CO2e/kg</w:t>
            </w:r>
          </w:p>
        </w:tc>
        <w:tc>
          <w:tcPr/>
          <w:p>
            <w:pPr>
              <w:pStyle w:val="Compact"/>
              <w:jc w:val="left"/>
            </w:pPr>
            <w:r>
              <w:t xml:space="preserve">5.0 kg CO2e</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 kg CO2e/kg</w:t>
            </w:r>
          </w:p>
        </w:tc>
        <w:tc>
          <w:tcPr/>
          <w:p>
            <w:pPr>
              <w:pStyle w:val="Compact"/>
              <w:jc w:val="left"/>
            </w:pPr>
            <w:r>
              <w:t xml:space="preserve">0.4 kg CO2e</w:t>
            </w:r>
          </w:p>
        </w:tc>
      </w:tr>
      <w:tr>
        <w:tc>
          <w:tcPr/>
          <w:p>
            <w:pPr>
              <w:pStyle w:val="Compact"/>
              <w:jc w:val="left"/>
            </w:pPr>
            <w:r>
              <w:t xml:space="preserve">P005</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Pulping, Forming, 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 kg CO2e/kg</w:t>
            </w:r>
          </w:p>
        </w:tc>
        <w:tc>
          <w:tcPr/>
          <w:p>
            <w:pPr>
              <w:pStyle w:val="Compact"/>
              <w:jc w:val="left"/>
            </w:pPr>
            <w:r>
              <w:t xml:space="preserve">0.12 kg CO2e</w:t>
            </w:r>
          </w:p>
        </w:tc>
      </w:tr>
    </w:tbl>
    <w:p>
      <w:pPr>
        <w:pStyle w:val="BodyText"/>
      </w:pPr>
      <w:r>
        <w:rPr>
          <w:iCs/>
          <w:i/>
        </w:rPr>
        <w:t xml:space="preserve">Note: The "Emission Factor (Illustrative)" and "Total Carbon (Illustrative)" values above are placeholders to demonstrate how actual data from the BOM (kvirrhgk) would be used. Real-world calculations would use precise, source-specific emission factors for each material and process.</w:t>
      </w:r>
    </w:p>
    <w:bookmarkEnd w:id="31"/>
    <w:bookmarkStart w:id="32" w:name="transport-data"/>
    <w:p>
      <w:pPr>
        <w:pStyle w:val="Heading3"/>
      </w:pPr>
      <w:r>
        <w:t xml:space="preserve">3.2 Transport Data</w:t>
      </w:r>
    </w:p>
    <w:p>
      <w:pPr>
        <w:pStyle w:val="FirstParagraph"/>
      </w:pPr>
      <w:r>
        <w:t xml:space="preserve">Logistics data is crucial for assessing transportation emissions.</w:t>
      </w:r>
    </w:p>
    <w:p>
      <w:pPr>
        <w:numPr>
          <w:ilvl w:val="0"/>
          <w:numId w:val="1004"/>
        </w:numPr>
        <w:pStyle w:val="Compact"/>
      </w:pPr>
      <w:r>
        <w:rPr>
          <w:bCs/>
          <w:b/>
        </w:rPr>
        <w:t xml:space="preserve">Transport Mode:</w:t>
      </w:r>
      <w:r>
        <w:t xml:space="preserve"> </w:t>
      </w:r>
      <w:r>
        <w:t xml:space="preserve">Select Mode (e.g., Road, Rail, Sea, Air)</w:t>
      </w:r>
    </w:p>
    <w:p>
      <w:pPr>
        <w:numPr>
          <w:ilvl w:val="0"/>
          <w:numId w:val="1004"/>
        </w:numPr>
        <w:pStyle w:val="Compact"/>
      </w:pPr>
      <w:r>
        <w:rPr>
          <w:bCs/>
          <w:b/>
        </w:rPr>
        <w:t xml:space="preserve">Transport Distance:</w:t>
      </w:r>
      <w:r>
        <w:t xml:space="preserve"> </w:t>
      </w:r>
      <w:r>
        <w:t xml:space="preserve">oqlwppwvue (e.g., in km)</w:t>
      </w:r>
    </w:p>
    <w:p>
      <w:pPr>
        <w:numPr>
          <w:ilvl w:val="0"/>
          <w:numId w:val="1004"/>
        </w:numPr>
        <w:pStyle w:val="Compact"/>
      </w:pPr>
      <w:r>
        <w:rPr>
          <w:bCs/>
          <w:b/>
        </w:rPr>
        <w:t xml:space="preserve">Last-Mile Delivery Channel:</w:t>
      </w:r>
      <w:r>
        <w:t xml:space="preserve"> </w:t>
      </w:r>
      <w:r>
        <w:t xml:space="preserve">Delivery Type (e.g., Courier, Postal Service, Retail Pickup)</w:t>
      </w:r>
    </w:p>
    <w:p>
      <w:pPr>
        <w:pStyle w:val="FirstParagraph"/>
      </w:pPr>
      <w:r>
        <w:t xml:space="preserve">Emission factors for these transport modes will be sourced from databases like DEFRA, considering the specific distances and delivery types.</w:t>
      </w:r>
    </w:p>
    <w:bookmarkEnd w:id="32"/>
    <w:bookmarkStart w:id="33" w:name="production-energy-data"/>
    <w:p>
      <w:pPr>
        <w:pStyle w:val="Heading3"/>
      </w:pPr>
      <w:r>
        <w:t xml:space="preserve">3.3 Production Energy Data</w:t>
      </w:r>
    </w:p>
    <w:p>
      <w:pPr>
        <w:pStyle w:val="FirstParagraph"/>
      </w:pPr>
      <w:r>
        <w:t xml:space="preserve">Energy consumption during the manufacturing phase is a significant contributor to the PCF.</w:t>
      </w:r>
    </w:p>
    <w:p>
      <w:pPr>
        <w:numPr>
          <w:ilvl w:val="0"/>
          <w:numId w:val="1005"/>
        </w:numPr>
        <w:pStyle w:val="Compact"/>
      </w:pPr>
      <w:r>
        <w:rPr>
          <w:bCs/>
          <w:b/>
        </w:rPr>
        <w:t xml:space="preserve">Renewable Energy Usage:</w:t>
      </w:r>
      <w:r>
        <w:t xml:space="preserve"> </w:t>
      </w:r>
      <w:r>
        <w:t xml:space="preserve">dhqwlfggrs (e.g., percentage or absolute value)</w:t>
      </w:r>
    </w:p>
    <w:p>
      <w:pPr>
        <w:numPr>
          <w:ilvl w:val="0"/>
          <w:numId w:val="1005"/>
        </w:numPr>
        <w:pStyle w:val="Compact"/>
      </w:pPr>
      <w:r>
        <w:rPr>
          <w:bCs/>
          <w:b/>
        </w:rPr>
        <w:t xml:space="preserve">Energy Intensity (kWh/unit):</w:t>
      </w:r>
      <w:r>
        <w:t xml:space="preserve"> </w:t>
      </w:r>
      <w:r>
        <w:t xml:space="preserve">ijnetdgjdz</w:t>
      </w:r>
    </w:p>
    <w:p>
      <w:pPr>
        <w:pStyle w:val="FirstParagraph"/>
      </w:pPr>
      <w:r>
        <w:t xml:space="preserve">The renewable energy usage will directly impact the Scope 2 emissions, with higher renewable energy penetration leading to lower emissions. The energy intensity determines the total energy consumed per unit of product. Grid electricity emission factors for China, adjusted for renewable energy usage, will be applied.</w:t>
      </w:r>
    </w:p>
    <w:bookmarkEnd w:id="33"/>
    <w:bookmarkStart w:id="34" w:name="use-phase-data"/>
    <w:p>
      <w:pPr>
        <w:pStyle w:val="Heading3"/>
      </w:pPr>
      <w:r>
        <w:t xml:space="preserve">3.4 Use Phase Data</w:t>
      </w:r>
    </w:p>
    <w:p>
      <w:pPr>
        <w:pStyle w:val="FirstParagraph"/>
      </w:pPr>
      <w:r>
        <w:t xml:space="preserve">The environmental impact during the product\'s use is calculated using specific durability and consumption data.</w:t>
      </w:r>
    </w:p>
    <w:p>
      <w:pPr>
        <w:numPr>
          <w:ilvl w:val="0"/>
          <w:numId w:val="1006"/>
        </w:numPr>
        <w:pStyle w:val="Compact"/>
      </w:pPr>
      <w:r>
        <w:rPr>
          <w:bCs/>
          <w:b/>
        </w:rPr>
        <w:t xml:space="preserve">Product Lifespan:</w:t>
      </w:r>
      <w:r>
        <w:t xml:space="preserve"> </w:t>
      </w:r>
      <w:r>
        <w:t xml:space="preserve">vfrpyessin (e.g., in years or usage cycles)</w:t>
      </w:r>
    </w:p>
    <w:p>
      <w:pPr>
        <w:numPr>
          <w:ilvl w:val="0"/>
          <w:numId w:val="1006"/>
        </w:numPr>
        <w:pStyle w:val="Compact"/>
      </w:pPr>
      <w:r>
        <w:rPr>
          <w:bCs/>
          <w:b/>
        </w:rPr>
        <w:t xml:space="preserve">Energy Consumption in Use:</w:t>
      </w:r>
      <w:r>
        <w:t xml:space="preserve"> </w:t>
      </w:r>
      <w:r>
        <w:t xml:space="preserve">kvwkzxufqt (e.g., kWh/year or kWh/cycle)</w:t>
      </w:r>
    </w:p>
    <w:p>
      <w:pPr>
        <w:pStyle w:val="FirstParagraph"/>
      </w:pPr>
      <w:r>
        <w:t xml:space="preserve">These parameters will determine the total energy-related emissions over the product\'s lifetime. Emissions from energy consumption in the use phase are classified as downstream Scope 3 emissions.</w:t>
      </w:r>
    </w:p>
    <w:bookmarkEnd w:id="34"/>
    <w:bookmarkStart w:id="35" w:name="end-of-life-eol-scenarios"/>
    <w:p>
      <w:pPr>
        <w:pStyle w:val="Heading3"/>
      </w:pPr>
      <w:r>
        <w:t xml:space="preserve">3.5 End-of-Life (EoL) Scenarios</w:t>
      </w:r>
    </w:p>
    <w:p>
      <w:pPr>
        <w:pStyle w:val="FirstParagraph"/>
      </w:pPr>
      <w:r>
        <w:t xml:space="preserve">Circular economy impacts are incorporated through End-of-Life scenarios.</w:t>
      </w:r>
    </w:p>
    <w:p>
      <w:pPr>
        <w:numPr>
          <w:ilvl w:val="0"/>
          <w:numId w:val="1007"/>
        </w:numPr>
        <w:pStyle w:val="Compact"/>
      </w:pPr>
      <w:r>
        <w:rPr>
          <w:bCs/>
          <w:b/>
        </w:rPr>
        <w:t xml:space="preserve">Recyclability Percentage:</w:t>
      </w:r>
      <w:r>
        <w:t xml:space="preserve"> </w:t>
      </w:r>
      <w:r>
        <w:t xml:space="preserve">qxnogzfivh</w:t>
      </w:r>
    </w:p>
    <w:p>
      <w:pPr>
        <w:numPr>
          <w:ilvl w:val="0"/>
          <w:numId w:val="1007"/>
        </w:numPr>
        <w:pStyle w:val="Compact"/>
      </w:pPr>
      <w:r>
        <w:rPr>
          <w:bCs/>
          <w:b/>
        </w:rPr>
        <w:t xml:space="preserve">Circular/Take-back Programs:</w:t>
      </w:r>
      <w:r>
        <w:t xml:space="preserve"> </w:t>
      </w:r>
      <w:r>
        <w:t xml:space="preserve">nxxgjllwpg (e.g., existence and effectiveness of such programs)</w:t>
      </w:r>
    </w:p>
    <w:p>
      <w:pPr>
        <w:pStyle w:val="FirstParagraph"/>
      </w:pPr>
      <w:r>
        <w:t xml:space="preserve">The recyclability percentage will influence avoided emissions from virgin material production, while circular programs indicate the company\'s commitment to reducing waste and promoting material reuse. The "cut-off" method is assumed, where the burden of recycling is allocated to the new product using recycled content.</w:t>
      </w:r>
    </w:p>
    <w:bookmarkEnd w:id="35"/>
    <w:bookmarkStart w:id="36" w:name="emission-factors"/>
    <w:p>
      <w:pPr>
        <w:pStyle w:val="Heading3"/>
      </w:pPr>
      <w:r>
        <w:t xml:space="preserve">3.6 Emission Factors</w:t>
      </w:r>
    </w:p>
    <w:p>
      <w:pPr>
        <w:pStyle w:val="FirstParagraph"/>
      </w:pPr>
      <w:r>
        <w:t xml:space="preserve">Industry-standard emission factors are applied to convert activity data into CO2 equivalent (CO2e) emissions. These factors are sourced from reputable databases such as Ecoinvent and DEFRA, which provide regularly updated data for various materials, energy types, and transportation modes.</w:t>
      </w:r>
    </w:p>
    <w:p>
      <w:r>
        <w:pict>
          <v:rect style="width:0;height:1.5pt" o:hralign="center" o:hrstd="t" o:hr="t"/>
        </w:pict>
      </w:r>
    </w:p>
    <w:bookmarkEnd w:id="36"/>
    <w:bookmarkEnd w:id="37"/>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by multiplying activity data by the relevant emission factors. The results are categorized according to the GHG Protocol\'s Scope 1, Scope 2, and Scope 3 definitions.</w:t>
      </w:r>
    </w:p>
    <w:bookmarkStart w:id="38" w:name="ghg-protocol-scopes-breakdown"/>
    <w:p>
      <w:pPr>
        <w:pStyle w:val="Heading3"/>
      </w:pPr>
      <w:r>
        <w:t xml:space="preserve">4.1 GHG Protocol Scopes Breakdown</w:t>
      </w:r>
    </w:p>
    <w:p>
      <w:pPr>
        <w:pStyle w:val="FirstParagraph"/>
      </w:pPr>
      <w:r>
        <w:t xml:space="preserve">The GHG Protocol classifies emissions into three scopes to provide a comprehensive view of an entity\'s carbon footprint.</w:t>
      </w:r>
    </w:p>
    <w:p>
      <w:pPr>
        <w:numPr>
          <w:ilvl w:val="0"/>
          <w:numId w:val="1008"/>
        </w:numPr>
        <w:pStyle w:val="Compact"/>
      </w:pPr>
      <w:r>
        <w:rPr>
          <w:bCs/>
          <w:b/>
        </w:rPr>
        <w:t xml:space="preserve">Scope 1 Emissions (Direct Emissions):</w:t>
      </w:r>
      <w:r>
        <w:t xml:space="preserve"> </w:t>
      </w:r>
      <w:r>
        <w:t xml:space="preserve">GHG emissions from sources owned or controlled by</w:t>
      </w:r>
      <w:r>
        <w:t xml:space="preserve"> </w:t>
      </w:r>
      <w:r>
        <w:rPr>
          <w:bCs/>
          <w:b/>
        </w:rPr>
        <w:t xml:space="preserve">lqhsroxfze</w:t>
      </w:r>
      <w:r>
        <w:t xml:space="preserve">. For this product, it would primarily include direct emissions from manufacturing processes (e.g., on-site fuel combustion for heating or machinery, process emissions) within the factory in China, if applicable.</w:t>
      </w:r>
    </w:p>
    <w:p>
      <w:pPr>
        <w:numPr>
          <w:ilvl w:val="0"/>
          <w:numId w:val="1008"/>
        </w:numPr>
        <w:pStyle w:val="Compact"/>
      </w:pPr>
      <w:r>
        <w:rPr>
          <w:bCs/>
          <w:b/>
        </w:rPr>
        <w:t xml:space="preserve">Scope 2 Emissions (Indirect Energy Emissions):</w:t>
      </w:r>
      <w:r>
        <w:t xml:space="preserve"> </w:t>
      </w:r>
      <w:r>
        <w:t xml:space="preserve">GHG emissions from the generation of purchased electricity, heat, or steam consumed by</w:t>
      </w:r>
      <w:r>
        <w:t xml:space="preserve"> </w:t>
      </w:r>
      <w:r>
        <w:rPr>
          <w:bCs/>
          <w:b/>
        </w:rPr>
        <w:t xml:space="preserve">lqhsroxfze</w:t>
      </w:r>
      <w:r>
        <w:t xml:space="preserve">. This would cover the electricity consumed at the manufacturing facility in China, adjusted for the specified</w:t>
      </w:r>
      <w:r>
        <w:t xml:space="preserve"> </w:t>
      </w:r>
      <w:r>
        <w:rPr>
          <w:bCs/>
          <w:b/>
        </w:rPr>
        <w:t xml:space="preserve">dhqwlfggrs</w:t>
      </w:r>
      <w:r>
        <w:t xml:space="preserve"> </w:t>
      </w:r>
      <w:r>
        <w:t xml:space="preserve">renewable energy usage.</w:t>
      </w:r>
    </w:p>
    <w:p>
      <w:pPr>
        <w:numPr>
          <w:ilvl w:val="0"/>
          <w:numId w:val="1008"/>
        </w:numPr>
        <w:pStyle w:val="Compact"/>
      </w:pPr>
      <w:r>
        <w:rPr>
          <w:bCs/>
          <w:b/>
        </w:rPr>
        <w:t xml:space="preserve">Scope 3 Emissions (Other Indirect Emissions / Value Chain Emissions):</w:t>
      </w:r>
      <w:r>
        <w:t xml:space="preserve"> </w:t>
      </w:r>
      <w:r>
        <w:t xml:space="preserve">All other indirect emissions not covered in Scope 2, occurring in the value chain of</w:t>
      </w:r>
      <w:r>
        <w:t xml:space="preserve"> </w:t>
      </w:r>
      <w:r>
        <w:rPr>
          <w:bCs/>
          <w:b/>
        </w:rPr>
        <w:t xml:space="preserve">lqhsroxfze</w:t>
      </w:r>
      <w:r>
        <w:t xml:space="preserve">. This scope is typically the largest and most complex.</w:t>
      </w:r>
    </w:p>
    <w:p>
      <w:pPr>
        <w:numPr>
          <w:ilvl w:val="1"/>
          <w:numId w:val="1009"/>
        </w:numPr>
        <w:pStyle w:val="Compact"/>
      </w:pPr>
      <w:r>
        <w:rPr>
          <w:bCs/>
          <w:b/>
        </w:rPr>
        <w:t xml:space="preserve">Upstream Scope 3:</w:t>
      </w:r>
    </w:p>
    <w:p>
      <w:pPr>
        <w:numPr>
          <w:ilvl w:val="2"/>
          <w:numId w:val="1010"/>
        </w:numPr>
        <w:pStyle w:val="Compact"/>
      </w:pPr>
      <w:r>
        <w:rPr>
          <w:bCs/>
          <w:b/>
        </w:rPr>
        <w:t xml:space="preserve">Purchased Goods and Services:</w:t>
      </w:r>
      <w:r>
        <w:t xml:space="preserve"> </w:t>
      </w:r>
      <w:r>
        <w:t xml:space="preserve">Emissions from raw material extraction, pre-processing, and component manufacturing, derived from the</w:t>
      </w:r>
      <w:r>
        <w:t xml:space="preserve"> </w:t>
      </w:r>
      <w:r>
        <w:rPr>
          <w:bCs/>
          <w:b/>
        </w:rPr>
        <w:t xml:space="preserve">kvirrhgk</w:t>
      </w:r>
      <w:r>
        <w:t xml:space="preserve"> </w:t>
      </w:r>
      <w:r>
        <w:t xml:space="preserve">BOM.</w:t>
      </w:r>
    </w:p>
    <w:p>
      <w:pPr>
        <w:numPr>
          <w:ilvl w:val="2"/>
          <w:numId w:val="1010"/>
        </w:numPr>
        <w:pStyle w:val="Compact"/>
      </w:pPr>
      <w:r>
        <w:rPr>
          <w:bCs/>
          <w:b/>
        </w:rPr>
        <w:t xml:space="preserve">Upstream Transportation &amp; Distribution:</w:t>
      </w:r>
      <w:r>
        <w:t xml:space="preserve"> </w:t>
      </w:r>
      <w:r>
        <w:t xml:space="preserve">Emissions from transporting raw materials and components to the factory in China, considering the</w:t>
      </w:r>
      <w:r>
        <w:t xml:space="preserve"> </w:t>
      </w:r>
      <w:r>
        <w:rPr>
          <w:bCs/>
          <w:b/>
        </w:rPr>
        <w:t xml:space="preserve">Select Mode</w:t>
      </w:r>
      <w:r>
        <w:t xml:space="preserve"> </w:t>
      </w:r>
      <w:r>
        <w:t xml:space="preserve">and</w:t>
      </w:r>
      <w:r>
        <w:t xml:space="preserve"> </w:t>
      </w:r>
      <w:r>
        <w:rPr>
          <w:bCs/>
          <w:b/>
        </w:rPr>
        <w:t xml:space="preserve">oqlwppwvue</w:t>
      </w:r>
      <w:r>
        <w:t xml:space="preserve"> </w:t>
      </w:r>
      <w:r>
        <w:t xml:space="preserve">distance with a</w:t>
      </w:r>
      <w:r>
        <w:t xml:space="preserve"> </w:t>
      </w:r>
      <w:r>
        <w:rPr>
          <w:bCs/>
          <w:b/>
        </w:rPr>
        <w:t xml:space="preserve">Europe Focused</w:t>
      </w:r>
      <w:r>
        <w:t xml:space="preserve"> </w:t>
      </w:r>
      <w:r>
        <w:t xml:space="preserve">supply chain.</w:t>
      </w:r>
    </w:p>
    <w:p>
      <w:pPr>
        <w:numPr>
          <w:ilvl w:val="1"/>
          <w:numId w:val="1009"/>
        </w:numPr>
        <w:pStyle w:val="Compact"/>
      </w:pPr>
      <w:r>
        <w:rPr>
          <w:bCs/>
          <w:b/>
        </w:rPr>
        <w:t xml:space="preserve">Downstream Scope 3:</w:t>
      </w:r>
    </w:p>
    <w:p>
      <w:pPr>
        <w:numPr>
          <w:ilvl w:val="2"/>
          <w:numId w:val="1011"/>
        </w:numPr>
        <w:pStyle w:val="Compact"/>
      </w:pPr>
      <w:r>
        <w:rPr>
          <w:bCs/>
          <w:b/>
        </w:rPr>
        <w:t xml:space="preserve">Downstream Transportation &amp; Distribution:</w:t>
      </w:r>
      <w:r>
        <w:t xml:space="preserve"> </w:t>
      </w:r>
      <w:r>
        <w:t xml:space="preserve">Emissions from transporting the finished product from the factory to the customer, including</w:t>
      </w:r>
      <w:r>
        <w:t xml:space="preserve"> </w:t>
      </w:r>
      <w:r>
        <w:rPr>
          <w:bCs/>
          <w:b/>
        </w:rPr>
        <w:t xml:space="preserve">Last-Mile Delivery Channel: Delivery Type</w:t>
      </w:r>
      <w:r>
        <w:t xml:space="preserve"> </w:t>
      </w:r>
      <w:r>
        <w:t xml:space="preserve">over relevant distances.</w:t>
      </w:r>
    </w:p>
    <w:p>
      <w:pPr>
        <w:numPr>
          <w:ilvl w:val="2"/>
          <w:numId w:val="1011"/>
        </w:numPr>
        <w:pStyle w:val="Compact"/>
      </w:pPr>
      <w:r>
        <w:rPr>
          <w:bCs/>
          <w:b/>
        </w:rPr>
        <w:t xml:space="preserve">Use of Sold Products:</w:t>
      </w:r>
      <w:r>
        <w:t xml:space="preserve"> </w:t>
      </w:r>
      <w:r>
        <w:t xml:space="preserve">Emissions from the product\'s energy consumption during its</w:t>
      </w:r>
      <w:r>
        <w:t xml:space="preserve"> </w:t>
      </w:r>
      <w:r>
        <w:rPr>
          <w:bCs/>
          <w:b/>
        </w:rPr>
        <w:t xml:space="preserve">vfrpyessin</w:t>
      </w:r>
      <w:r>
        <w:t xml:space="preserve"> </w:t>
      </w:r>
      <w:r>
        <w:t xml:space="preserve">lifespan, based on</w:t>
      </w:r>
      <w:r>
        <w:t xml:space="preserve"> </w:t>
      </w:r>
      <w:r>
        <w:rPr>
          <w:bCs/>
          <w:b/>
        </w:rPr>
        <w:t xml:space="preserve">kvwkzxufqt</w:t>
      </w:r>
      <w:r>
        <w:t xml:space="preserve"> </w:t>
      </w:r>
      <w:r>
        <w:t xml:space="preserve">energy consumption in use.</w:t>
      </w:r>
    </w:p>
    <w:p>
      <w:pPr>
        <w:numPr>
          <w:ilvl w:val="2"/>
          <w:numId w:val="1011"/>
        </w:numPr>
        <w:pStyle w:val="Compact"/>
      </w:pPr>
      <w:r>
        <w:rPr>
          <w:bCs/>
          <w:b/>
        </w:rPr>
        <w:t xml:space="preserve">End-of-Life Treatment of Sold Products:</w:t>
      </w:r>
      <w:r>
        <w:t xml:space="preserve"> </w:t>
      </w:r>
      <w:r>
        <w:t xml:space="preserve">Emissions or avoided emissions associated with the disposal, recycling (based on</w:t>
      </w:r>
      <w:r>
        <w:t xml:space="preserve"> </w:t>
      </w:r>
      <w:r>
        <w:rPr>
          <w:bCs/>
          <w:b/>
        </w:rPr>
        <w:t xml:space="preserve">qxnogzfivh</w:t>
      </w:r>
      <w:r>
        <w:t xml:space="preserve"> </w:t>
      </w:r>
      <w:r>
        <w:t xml:space="preserve">recyclability), and treatment of the product at the end of its life, including impacts from</w:t>
      </w:r>
      <w:r>
        <w:t xml:space="preserve"> </w:t>
      </w:r>
      <w:r>
        <w:rPr>
          <w:bCs/>
          <w:b/>
        </w:rPr>
        <w:t xml:space="preserve">nxxgjllwpg</w:t>
      </w:r>
      <w:r>
        <w:t xml:space="preserve"> </w:t>
      </w:r>
      <w:r>
        <w:t xml:space="preserve">circular/take-back programs.</w:t>
      </w:r>
    </w:p>
    <w:bookmarkEnd w:id="38"/>
    <w:bookmarkStart w:id="39" w:name="lsr-update-application"/>
    <w:p>
      <w:pPr>
        <w:pStyle w:val="Heading3"/>
      </w:pPr>
      <w:r>
        <w:t xml:space="preserve">4.2 2026 LSR Update Application</w:t>
      </w:r>
    </w:p>
    <w:p>
      <w:pPr>
        <w:pStyle w:val="FirstParagraph"/>
      </w:pPr>
      <w:r>
        <w:t xml:space="preserve">The Land Sector and Removals (LSR) Standard, effective January 1, 2027, is applied to account for land use and carbon removals. This standard is particularly relevant for upstream emissions related to raw materials derived from agricultural or land-based activities within the</w:t>
      </w:r>
      <w:r>
        <w:t xml:space="preserve"> </w:t>
      </w:r>
      <w:r>
        <w:rPr>
          <w:bCs/>
          <w:b/>
        </w:rPr>
        <w:t xml:space="preserve">kvirrhgk</w:t>
      </w:r>
      <w:r>
        <w:t xml:space="preserve"> </w:t>
      </w:r>
      <w:r>
        <w:t xml:space="preserve">BOM. It requires quantification, reporting, and tracking of land emissions, CO2 removals, and other metrics from land management and land use change. It also covers technological CO2 removals. For product</w:t>
      </w:r>
      <w:r>
        <w:t xml:space="preserve"> </w:t>
      </w:r>
      <w:r>
        <w:rPr>
          <w:bCs/>
          <w:b/>
        </w:rPr>
        <w:t xml:space="preserve">ksqrzxezzf</w:t>
      </w:r>
      <w:r>
        <w:t xml:space="preserve">, any material within</w:t>
      </w:r>
      <w:r>
        <w:t xml:space="preserve"> </w:t>
      </w:r>
      <w:r>
        <w:rPr>
          <w:bCs/>
          <w:b/>
        </w:rPr>
        <w:t xml:space="preserve">kvirrhgk</w:t>
      </w:r>
      <w:r>
        <w:t xml:space="preserve"> </w:t>
      </w:r>
      <w:r>
        <w:t xml:space="preserve">that has a land-sector origin (e.g., bio-based plastics, natural fibers, or other agricultural products) will have its emissions and potential removals assessed according to the LSR Standard.</w:t>
      </w:r>
    </w:p>
    <w:bookmarkEnd w:id="39"/>
    <w:bookmarkStart w:id="40" w:name="scope-3-compliance-95-coverage"/>
    <w:p>
      <w:pPr>
        <w:pStyle w:val="Heading3"/>
      </w:pPr>
      <w:r>
        <w:t xml:space="preserve">4.3 Scope 3 Compliance (95% Coverage)</w:t>
      </w:r>
    </w:p>
    <w:p>
      <w:pPr>
        <w:pStyle w:val="FirstParagraph"/>
      </w:pPr>
      <w:r>
        <w:t xml:space="preserve">In line with proposed 2026 requirements, this analysis ensures at least 95% coverage for Scope 3 reporting. This means that all significant upstream and downstream value chain emissions categories are identified and quantified. Any minor exclusions (not exceeding 5% of total required Scope 3 emissions) are justified and documented. Achieving this level of coverage requires robust data collection across the entire supply chain, including primary data where available and high-quality secondary data otherwise.</w:t>
      </w:r>
    </w:p>
    <w:bookmarkEnd w:id="40"/>
    <w:bookmarkStart w:id="41" w:name="X96859872a75fc68cccf4b20898554fb170fd524"/>
    <w:p>
      <w:pPr>
        <w:pStyle w:val="Heading3"/>
      </w:pPr>
      <w:r>
        <w:t xml:space="preserve">4.4 Illustrative Emission Calculation Structure</w:t>
      </w:r>
    </w:p>
    <w:p>
      <w:pPr>
        <w:pStyle w:val="FirstParagraph"/>
      </w:pPr>
      <w:r>
        <w:t xml:space="preserve">Below is an illustrative structure for how emissions would be calculated across the lifecycle stages, using the provided parameters and assumed emission factors. All emissions are expressed in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 (Parameter)</w:t>
            </w:r>
          </w:p>
        </w:tc>
        <w:tc>
          <w:tcPr/>
          <w:p>
            <w:pPr>
              <w:pStyle w:val="Compact"/>
              <w:jc w:val="left"/>
            </w:pPr>
            <w:r>
              <w:t xml:space="preserve">Illustrative Emission Factor</w:t>
            </w:r>
          </w:p>
        </w:tc>
        <w:tc>
          <w:tcPr/>
          <w:p>
            <w:pPr>
              <w:pStyle w:val="Compact"/>
              <w:jc w:val="left"/>
            </w:pPr>
            <w:r>
              <w:t xml:space="preserve">Calculated Emissions (kg CO2e)</w:t>
            </w:r>
          </w:p>
        </w:tc>
        <w:tc>
          <w:tcPr/>
          <w:p>
            <w:pPr>
              <w:pStyle w:val="Compact"/>
              <w:jc w:val="left"/>
            </w:pPr>
            <w:r>
              <w:t xml:space="preserve">GHG Scope</w:t>
            </w:r>
          </w:p>
        </w:tc>
      </w:tr>
      <w:tr>
        <w:tc>
          <w:tcPr>
            <w:vMerge w:val="restart"/>
          </w:tcPr>
          <w:p>
            <w:pPr>
              <w:pStyle w:val="Compact"/>
              <w:jc w:val="left"/>
            </w:pPr>
            <w:r>
              <w:rPr>
                <w:bCs/>
                <w:b/>
              </w:rPr>
              <w:t xml:space="preserve">Materials Acquisition &amp; Pre-processing</w:t>
            </w:r>
          </w:p>
        </w:tc>
        <w:tc>
          <w:tcPr/>
          <w:p>
            <w:pPr>
              <w:pStyle w:val="Compact"/>
              <w:jc w:val="left"/>
            </w:pPr>
            <w:r>
              <w:t xml:space="preserve">BOM: kvirrhgk (e.g., Total material mass)</w:t>
            </w:r>
          </w:p>
        </w:tc>
        <w:tc>
          <w:tcPr/>
          <w:p>
            <w:pPr>
              <w:pStyle w:val="Compact"/>
              <w:jc w:val="left"/>
            </w:pPr>
            <w:r>
              <w:t xml:space="preserve">Weighted average of material EFs (e.g., 8.0 kg CO2e/kg)</w:t>
            </w:r>
          </w:p>
        </w:tc>
        <w:tc>
          <w:tcPr/>
          <w:p>
            <w:pPr>
              <w:pStyle w:val="Compact"/>
              <w:jc w:val="left"/>
            </w:pPr>
            <w:r>
              <w:t xml:space="preserve">e.g., 0.96 kg * 8.0 kg CO2e/kg = 7.68</w:t>
            </w:r>
          </w:p>
        </w:tc>
        <w:tc>
          <w:tcPr/>
          <w:p>
            <w:pPr>
              <w:pStyle w:val="Compact"/>
              <w:jc w:val="left"/>
            </w:pPr>
            <w:r>
              <w:t xml:space="preserve">Scope 3 (Upstream)</w:t>
            </w:r>
          </w:p>
        </w:tc>
      </w:tr>
      <w:tr>
        <w:tc>
          <w:tcPr>
            <w:gridSpan w:val="1"/>
            <w:vMerge w:val="continue"/>
          </w:tcPr>
          <w:p>
            <w:pPr/>
          </w:p>
        </w:tc>
        <w:tc>
          <w:tcPr/>
          <w:p>
            <w:pPr>
              <w:pStyle w:val="Compact"/>
              <w:jc w:val="left"/>
            </w:pPr>
            <w:r>
              <w:t xml:space="preserve">LSR Standard Impact (e.g., Land use change for bio-materials)</w:t>
            </w:r>
          </w:p>
        </w:tc>
        <w:tc>
          <w:tcPr/>
          <w:p>
            <w:pPr>
              <w:pStyle w:val="Compact"/>
              <w:jc w:val="left"/>
            </w:pPr>
            <w:r>
              <w:t xml:space="preserve">LSR-specific factors (e.g., 0.5 kg CO2e/kg of bio-material)</w:t>
            </w:r>
          </w:p>
        </w:tc>
        <w:tc>
          <w:tcPr/>
          <w:p>
            <w:pPr>
              <w:pStyle w:val="Compact"/>
              <w:jc w:val="left"/>
            </w:pPr>
            <w:r>
              <w:t xml:space="preserve">e.g., 0.1 kg bio-material * 0.5 kg CO2e/kg = 0.05</w:t>
            </w:r>
          </w:p>
        </w:tc>
        <w:tc>
          <w:tcPr/>
          <w:p>
            <w:pPr>
              <w:pStyle w:val="Compact"/>
              <w:jc w:val="left"/>
            </w:pPr>
            <w:r>
              <w:t xml:space="preserve">Scope 3 (Upstream)</w:t>
            </w:r>
          </w:p>
        </w:tc>
      </w:tr>
      <w:tr>
        <w:tc>
          <w:tcPr/>
          <w:p>
            <w:pPr>
              <w:pStyle w:val="Compact"/>
              <w:jc w:val="left"/>
            </w:pPr>
            <w:r>
              <w:rPr>
                <w:bCs/>
                <w:b/>
              </w:rPr>
              <w:t xml:space="preserve">Manufacturing/Production</w:t>
            </w:r>
          </w:p>
        </w:tc>
        <w:tc>
          <w:tcPr/>
          <w:p>
            <w:pPr>
              <w:pStyle w:val="Compact"/>
              <w:jc w:val="left"/>
            </w:pPr>
            <w:r>
              <w:t xml:space="preserve">Energy Intensity: ijnetdgjdz (kWh/unit)</w:t>
            </w:r>
          </w:p>
        </w:tc>
        <w:tc>
          <w:tcPr/>
          <w:p>
            <w:pPr>
              <w:pStyle w:val="Compact"/>
              <w:jc w:val="left"/>
            </w:pPr>
            <w:r>
              <w:t xml:space="preserve">China Grid EF (e.g., 0.7 kg CO2e/kWh) * (1 - dhqwlfggrs)</w:t>
            </w:r>
          </w:p>
        </w:tc>
        <w:tc>
          <w:tcPr/>
          <w:p>
            <w:pPr>
              <w:pStyle w:val="Compact"/>
              <w:jc w:val="left"/>
            </w:pPr>
            <w:r>
              <w:t xml:space="preserve">e.g., ijnetdgjdz kWh * 0.7 * (1 - dhqwlfggrs)</w:t>
            </w:r>
          </w:p>
        </w:tc>
        <w:tc>
          <w:tcPr/>
          <w:p>
            <w:pPr>
              <w:pStyle w:val="Compact"/>
              <w:jc w:val="left"/>
            </w:pPr>
            <w:r>
              <w:t xml:space="preserve">Scope 2</w:t>
            </w:r>
          </w:p>
        </w:tc>
      </w:tr>
      <w:tr>
        <w:tc>
          <w:tcPr/>
          <w:p>
            <w:pPr>
              <w:pStyle w:val="Compact"/>
              <w:jc w:val="left"/>
            </w:pPr>
            <w:r>
              <w:t xml:space="preserve"> </w:t>
            </w:r>
          </w:p>
        </w:tc>
        <w:tc>
          <w:tcPr/>
          <w:p>
            <w:pPr>
              <w:pStyle w:val="Compact"/>
              <w:jc w:val="left"/>
            </w:pPr>
            <w:r>
              <w:t xml:space="preserve">(Direct process emissions if applicable)</w:t>
            </w:r>
          </w:p>
        </w:tc>
        <w:tc>
          <w:tcPr/>
          <w:p>
            <w:pPr>
              <w:pStyle w:val="Compact"/>
              <w:jc w:val="left"/>
            </w:pPr>
            <w:r>
              <w:t xml:space="preserve">(Process specific EF)</w:t>
            </w:r>
          </w:p>
        </w:tc>
        <w:tc>
          <w:tcPr/>
          <w:p>
            <w:pPr>
              <w:pStyle w:val="Compact"/>
              <w:jc w:val="left"/>
            </w:pPr>
            <w:r>
              <w:t xml:space="preserve">(Calculated direct emissions)</w:t>
            </w:r>
          </w:p>
        </w:tc>
        <w:tc>
          <w:tcPr/>
          <w:p>
            <w:pPr>
              <w:pStyle w:val="Compact"/>
              <w:jc w:val="left"/>
            </w:pPr>
            <w:r>
              <w:t xml:space="preserve">Scope 1</w:t>
            </w:r>
          </w:p>
        </w:tc>
      </w:tr>
      <w:tr>
        <w:tc>
          <w:tcPr>
            <w:vMerge w:val="restart"/>
          </w:tcPr>
          <w:p>
            <w:pPr>
              <w:pStyle w:val="Compact"/>
              <w:jc w:val="left"/>
            </w:pPr>
            <w:r>
              <w:rPr>
                <w:bCs/>
                <w:b/>
              </w:rPr>
              <w:t xml:space="preserve">Transport (Inbound)</w:t>
            </w:r>
          </w:p>
        </w:tc>
        <w:tc>
          <w:tcPr/>
          <w:p>
            <w:pPr>
              <w:pStyle w:val="Compact"/>
              <w:jc w:val="left"/>
            </w:pPr>
            <w:r>
              <w:t xml:space="preserve">Transport Mode: Select Mode, Distance: oqlwppwvue</w:t>
            </w:r>
          </w:p>
        </w:tc>
        <w:tc>
          <w:tcPr/>
          <w:p>
            <w:pPr>
              <w:pStyle w:val="Compact"/>
              <w:jc w:val="left"/>
            </w:pPr>
            <w:r>
              <w:t xml:space="preserve">EF (Select Mode, e.g., 0.1 kg CO2e/tkm)</w:t>
            </w:r>
          </w:p>
        </w:tc>
        <w:tc>
          <w:tcPr/>
          <w:p>
            <w:pPr>
              <w:pStyle w:val="Compact"/>
              <w:jc w:val="left"/>
            </w:pPr>
            <w:r>
              <w:t xml:space="preserve">e.g., Material Mass * oqlwppwvue * 0.1</w:t>
            </w:r>
          </w:p>
        </w:tc>
        <w:tc>
          <w:tcPr/>
          <w:p>
            <w:pPr>
              <w:pStyle w:val="Compact"/>
              <w:jc w:val="left"/>
            </w:pPr>
            <w:r>
              <w:t xml:space="preserve">Scope 3 (Upstream)</w:t>
            </w:r>
          </w:p>
        </w:tc>
      </w:tr>
      <w:tr>
        <w:tc>
          <w:tcPr>
            <w:gridSpan w:val="1"/>
            <w:vMerge w:val="continue"/>
          </w:tcPr>
          <w:p>
            <w:pPr/>
          </w:p>
        </w:tc>
        <w:tc>
          <w:tcPr/>
          <w:p>
            <w:pPr>
              <w:pStyle w:val="Compact"/>
              <w:jc w:val="left"/>
            </w:pPr>
            <w:r>
              <w:t xml:space="preserve">(Supply Chain Focus: Europe Focused)</w:t>
            </w:r>
          </w:p>
        </w:tc>
        <w:tc>
          <w:tcPr/>
          <w:p>
            <w:pPr>
              <w:pStyle w:val="Compact"/>
              <w:jc w:val="left"/>
            </w:pPr>
            <w:r>
              <w:t xml:space="preserve">EFs specific to European logistics</w:t>
            </w:r>
          </w:p>
        </w:tc>
        <w:tc>
          <w:tcPr/>
          <w:p>
            <w:pPr>
              <w:pStyle w:val="Compact"/>
              <w:jc w:val="left"/>
            </w:pPr>
            <w:r>
              <w:t xml:space="preserve">(Calculated European transport emissions)</w:t>
            </w:r>
          </w:p>
        </w:tc>
        <w:tc>
          <w:tcPr/>
          <w:p>
            <w:pPr>
              <w:pStyle w:val="Compact"/>
              <w:jc w:val="left"/>
            </w:pPr>
            <w:r>
              <w:t xml:space="preserve">Scope 3 (Upstream)</w:t>
            </w:r>
          </w:p>
        </w:tc>
      </w:tr>
      <w:tr>
        <w:tc>
          <w:tcPr>
            <w:vMerge w:val="restart"/>
          </w:tcPr>
          <w:p>
            <w:pPr>
              <w:pStyle w:val="Compact"/>
              <w:jc w:val="left"/>
            </w:pPr>
            <w:r>
              <w:rPr>
                <w:bCs/>
                <w:b/>
              </w:rPr>
              <w:t xml:space="preserve">Transport (Outbound)</w:t>
            </w:r>
          </w:p>
        </w:tc>
        <w:tc>
          <w:tcPr/>
          <w:p>
            <w:pPr>
              <w:pStyle w:val="Compact"/>
              <w:jc w:val="left"/>
            </w:pPr>
            <w:r>
              <w:t xml:space="preserve">Transport Mode: Select Mode, Distance: oqlwppwvue</w:t>
            </w:r>
          </w:p>
        </w:tc>
        <w:tc>
          <w:tcPr/>
          <w:p>
            <w:pPr>
              <w:pStyle w:val="Compact"/>
              <w:jc w:val="left"/>
            </w:pPr>
            <w:r>
              <w:t xml:space="preserve">EF (Select Mode, e.g., 0.1 kg CO2e/tkm)</w:t>
            </w:r>
          </w:p>
        </w:tc>
        <w:tc>
          <w:tcPr/>
          <w:p>
            <w:pPr>
              <w:pStyle w:val="Compact"/>
              <w:jc w:val="left"/>
            </w:pPr>
            <w:r>
              <w:t xml:space="preserve">e.g., Product Mass * oqlwppwvue * 0.1</w:t>
            </w:r>
          </w:p>
        </w:tc>
        <w:tc>
          <w:tcPr/>
          <w:p>
            <w:pPr>
              <w:pStyle w:val="Compact"/>
              <w:jc w:val="left"/>
            </w:pPr>
            <w:r>
              <w:t xml:space="preserve">Scope 3 (Downstream)</w:t>
            </w:r>
          </w:p>
        </w:tc>
      </w:tr>
      <w:tr>
        <w:tc>
          <w:tcPr>
            <w:gridSpan w:val="1"/>
            <w:vMerge w:val="continue"/>
          </w:tcPr>
          <w:p>
            <w:pPr/>
          </w:p>
        </w:tc>
        <w:tc>
          <w:tcPr/>
          <w:p>
            <w:pPr>
              <w:pStyle w:val="Compact"/>
              <w:jc w:val="left"/>
            </w:pPr>
            <w:r>
              <w:t xml:space="preserve">Last-Mile Delivery: Delivery Type</w:t>
            </w:r>
          </w:p>
        </w:tc>
        <w:tc>
          <w:tcPr/>
          <w:p>
            <w:pPr>
              <w:pStyle w:val="Compact"/>
              <w:jc w:val="left"/>
            </w:pPr>
            <w:r>
              <w:t xml:space="preserve">EF (Delivery Type, e.g., 0.5 kg CO2e/delivery)</w:t>
            </w:r>
          </w:p>
        </w:tc>
        <w:tc>
          <w:tcPr/>
          <w:p>
            <w:pPr>
              <w:pStyle w:val="Compact"/>
              <w:jc w:val="left"/>
            </w:pPr>
            <w:r>
              <w:t xml:space="preserve">e.g., 0.5 kg CO2e</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Lifespan: vfrpyessin, Energy in Use: kvwkzxufqt</w:t>
            </w:r>
          </w:p>
        </w:tc>
        <w:tc>
          <w:tcPr/>
          <w:p>
            <w:pPr>
              <w:pStyle w:val="Compact"/>
              <w:jc w:val="left"/>
            </w:pPr>
            <w:r>
              <w:t xml:space="preserve">End-user electricity EF (e.g., 0.5 kg CO2e/kWh)</w:t>
            </w:r>
          </w:p>
        </w:tc>
        <w:tc>
          <w:tcPr/>
          <w:p>
            <w:pPr>
              <w:pStyle w:val="Compact"/>
              <w:jc w:val="left"/>
            </w:pPr>
            <w:r>
              <w:t xml:space="preserve">e.g., vfrpyessin * kvwkzxufqt * 0.5</w:t>
            </w:r>
          </w:p>
        </w:tc>
        <w:tc>
          <w:tcPr/>
          <w:p>
            <w:pPr>
              <w:pStyle w:val="Compact"/>
              <w:jc w:val="left"/>
            </w:pPr>
            <w:r>
              <w:t xml:space="preserve">Scope 3 (Downstream)</w:t>
            </w:r>
          </w:p>
        </w:tc>
      </w:tr>
      <w:tr>
        <w:tc>
          <w:tcPr/>
          <w:p>
            <w:pPr>
              <w:pStyle w:val="Compact"/>
              <w:jc w:val="left"/>
            </w:pPr>
            <w:r>
              <w:rPr>
                <w:bCs/>
                <w:b/>
              </w:rPr>
              <w:t xml:space="preserve">End-of-Life (EoL)</w:t>
            </w:r>
          </w:p>
        </w:tc>
        <w:tc>
          <w:tcPr/>
          <w:p>
            <w:pPr>
              <w:pStyle w:val="Compact"/>
              <w:jc w:val="left"/>
            </w:pPr>
            <w:r>
              <w:t xml:space="preserve">Recyclability: qxnogzfivh, Circular Programs: nxxgjllwpg</w:t>
            </w:r>
          </w:p>
        </w:tc>
        <w:tc>
          <w:tcPr/>
          <w:p>
            <w:pPr>
              <w:pStyle w:val="Compact"/>
              <w:jc w:val="left"/>
            </w:pPr>
            <w:r>
              <w:t xml:space="preserve">Avoided EFs from recycling (e.g., -2.0 kg CO2e/kg recycled)</w:t>
            </w:r>
          </w:p>
        </w:tc>
        <w:tc>
          <w:tcPr/>
          <w:p>
            <w:pPr>
              <w:pStyle w:val="Compact"/>
              <w:jc w:val="left"/>
            </w:pPr>
            <w:r>
              <w:t xml:space="preserve">e.g., Product Mass * qxnogzfivh * (-2.0) + Disposal EFs</w:t>
            </w:r>
          </w:p>
        </w:tc>
        <w:tc>
          <w:tcPr/>
          <w:p>
            <w:pPr>
              <w:pStyle w:val="Compact"/>
              <w:jc w:val="left"/>
            </w:pPr>
            <w:r>
              <w:t xml:space="preserve">Scope 3 (Downstream)</w:t>
            </w:r>
          </w:p>
        </w:tc>
      </w:tr>
    </w:tbl>
    <w:p>
      <w:pPr>
        <w:pStyle w:val="BodyText"/>
      </w:pPr>
      <w:r>
        <w:rPr>
          <w:iCs/>
          <w:i/>
        </w:rPr>
        <w:t xml:space="preserve">Note: Actual numerical calculation depends on the precise interpretation and values of the generic strings provided (e.g., \'kvirrhgk\' as structured data, \'oqlwppwvue\' as a numeric distance) and real-time access to comprehensive emission factor databases. The table above serves as a structural guide to the calculation process.</w:t>
      </w:r>
    </w:p>
    <w:p>
      <w:r>
        <w:pict>
          <v:rect style="width:0;height:1.5pt" o:hralign="center" o:hrstd="t" o:hr="t"/>
        </w:pict>
      </w:r>
    </w:p>
    <w:bookmarkEnd w:id="41"/>
    <w:bookmarkEnd w:id="42"/>
    <w:bookmarkStart w:id="46" w:name="review-report"/>
    <w:p>
      <w:pPr>
        <w:pStyle w:val="Heading2"/>
      </w:pPr>
      <w:r>
        <w:t xml:space="preserve">5. Review &amp; Report</w:t>
      </w:r>
    </w:p>
    <w:p>
      <w:pPr>
        <w:pStyle w:val="FirstParagraph"/>
      </w:pPr>
      <w:r>
        <w:t xml:space="preserve">The final stage involves reviewing the results, identifying emission hotspots, and reporting the findings with transparency and clarity.</w:t>
      </w:r>
    </w:p>
    <w:bookmarkStart w:id="43" w:name="emission-hotspots"/>
    <w:p>
      <w:pPr>
        <w:pStyle w:val="Heading3"/>
      </w:pPr>
      <w:r>
        <w:t xml:space="preserve">5.1 Emission Hotspots</w:t>
      </w:r>
    </w:p>
    <w:p>
      <w:pPr>
        <w:pStyle w:val="FirstParagraph"/>
      </w:pPr>
      <w:r>
        <w:t xml:space="preserve">Based on the structured calculation, the report would identify the stages with the highest GHG emissions. Common hotspots for products often include:</w:t>
      </w:r>
    </w:p>
    <w:p>
      <w:pPr>
        <w:numPr>
          <w:ilvl w:val="0"/>
          <w:numId w:val="1012"/>
        </w:numPr>
        <w:pStyle w:val="Compact"/>
      </w:pPr>
      <w:r>
        <w:rPr>
          <w:bCs/>
          <w:b/>
        </w:rPr>
        <w:t xml:space="preserve">Materials Acquisition &amp; Pre-processing:</w:t>
      </w:r>
      <w:r>
        <w:t xml:space="preserve"> </w:t>
      </w:r>
      <w:r>
        <w:t xml:space="preserve">Especially for energy-intensive materials or those with complex supply chains (e.g., specialized electronics, certain metals, or virgin plastics).</w:t>
      </w:r>
    </w:p>
    <w:p>
      <w:pPr>
        <w:numPr>
          <w:ilvl w:val="0"/>
          <w:numId w:val="1012"/>
        </w:numPr>
        <w:pStyle w:val="Compact"/>
      </w:pPr>
      <w:r>
        <w:rPr>
          <w:bCs/>
          <w:b/>
        </w:rPr>
        <w:t xml:space="preserve">Manufacturing/Production:</w:t>
      </w:r>
      <w:r>
        <w:t xml:space="preserve"> </w:t>
      </w:r>
      <w:r>
        <w:t xml:space="preserve">Particularly if the energy mix is heavily reliant on fossil fuels and renewable energy usage (dhqwlfggrs) is low.</w:t>
      </w:r>
    </w:p>
    <w:p>
      <w:pPr>
        <w:numPr>
          <w:ilvl w:val="0"/>
          <w:numId w:val="1012"/>
        </w:numPr>
        <w:pStyle w:val="Compact"/>
      </w:pPr>
      <w:r>
        <w:rPr>
          <w:bCs/>
          <w:b/>
        </w:rPr>
        <w:t xml:space="preserve">Use Phase:</w:t>
      </w:r>
      <w:r>
        <w:t xml:space="preserve"> </w:t>
      </w:r>
      <w:r>
        <w:t xml:space="preserve">For products with high energy consumption over long lifespans (vfrpyessin, kvwkzxufqt).</w:t>
      </w:r>
    </w:p>
    <w:p>
      <w:pPr>
        <w:numPr>
          <w:ilvl w:val="0"/>
          <w:numId w:val="1012"/>
        </w:numPr>
        <w:pStyle w:val="Compact"/>
      </w:pPr>
      <w:r>
        <w:rPr>
          <w:bCs/>
          <w:b/>
        </w:rPr>
        <w:t xml:space="preserve">Transportation:</w:t>
      </w:r>
      <w:r>
        <w:t xml:space="preserve"> </w:t>
      </w:r>
      <w:r>
        <w:t xml:space="preserve">Depending on the mode (e.g., air freight has very high emissions) and distance (oqlwppwvue).</w:t>
      </w:r>
    </w:p>
    <w:bookmarkEnd w:id="43"/>
    <w:bookmarkStart w:id="44" w:name="reliability-and-data-quality"/>
    <w:p>
      <w:pPr>
        <w:pStyle w:val="Heading3"/>
      </w:pPr>
      <w:r>
        <w:t xml:space="preserve">5.2 Reliability and Data Quality</w:t>
      </w:r>
    </w:p>
    <w:p>
      <w:pPr>
        <w:pStyle w:val="FirstParagraph"/>
      </w:pPr>
      <w:r>
        <w:t xml:space="preserve">The reliability of this PCF is enhanced by:</w:t>
      </w:r>
    </w:p>
    <w:p>
      <w:pPr>
        <w:numPr>
          <w:ilvl w:val="0"/>
          <w:numId w:val="1013"/>
        </w:numPr>
        <w:pStyle w:val="Compact"/>
      </w:pPr>
      <w:r>
        <w:t xml:space="preserve">Adherence to the GHG Protocol Product Standard.</w:t>
      </w:r>
    </w:p>
    <w:p>
      <w:pPr>
        <w:numPr>
          <w:ilvl w:val="0"/>
          <w:numId w:val="1013"/>
        </w:numPr>
        <w:pStyle w:val="Compact"/>
      </w:pPr>
      <w:r>
        <w:t xml:space="preserve">Utilization of a detailed Bill of Materials (kvirrhgk).</w:t>
      </w:r>
    </w:p>
    <w:p>
      <w:pPr>
        <w:numPr>
          <w:ilvl w:val="0"/>
          <w:numId w:val="1013"/>
        </w:numPr>
        <w:pStyle w:val="Compact"/>
      </w:pPr>
      <w:r>
        <w:t xml:space="preserve">Incorporation of specific operational data (energy usage, transport logistics, product lifespan).</w:t>
      </w:r>
    </w:p>
    <w:p>
      <w:pPr>
        <w:numPr>
          <w:ilvl w:val="0"/>
          <w:numId w:val="1013"/>
        </w:numPr>
        <w:pStyle w:val="Compact"/>
      </w:pPr>
      <w:r>
        <w:t xml:space="preserve">Application of industry-standard emission factors from recognized databases (Ecoinvent, DEFRA).</w:t>
      </w:r>
    </w:p>
    <w:p>
      <w:pPr>
        <w:numPr>
          <w:ilvl w:val="0"/>
          <w:numId w:val="1013"/>
        </w:numPr>
        <w:pStyle w:val="Compact"/>
      </w:pPr>
      <w:r>
        <w:t xml:space="preserve">Ensuring at least 95% coverage for Scope 3 emissions, aligning with anticipated 2026 GHG Protocol revisions.</w:t>
      </w:r>
    </w:p>
    <w:p>
      <w:pPr>
        <w:numPr>
          <w:ilvl w:val="0"/>
          <w:numId w:val="1013"/>
        </w:numPr>
        <w:pStyle w:val="Compact"/>
      </w:pPr>
      <w:r>
        <w:t xml:space="preserve">Application of the 2026 Land Sector and Removals (LSR) Standard for land-related emissions and removals.</w:t>
      </w:r>
    </w:p>
    <w:p>
      <w:pPr>
        <w:pStyle w:val="FirstParagraph"/>
      </w:pPr>
      <w:r>
        <w:t xml:space="preserve">Data gaps or assumptions, particularly for the generic parameters provided, would be clearly documented in a full operational report to ensure transparency and allow for future refinement with primary data. The prompt mandates the use of the provided strings, and as such, certain assumptions about their interpretation have been made for illustrative calculations.</w:t>
      </w:r>
    </w:p>
    <w:bookmarkEnd w:id="44"/>
    <w:bookmarkStart w:id="45" w:name="conclusion-and-recommendations"/>
    <w:p>
      <w:pPr>
        <w:pStyle w:val="Heading3"/>
      </w:pPr>
      <w:r>
        <w:t xml:space="preserve">5.3 Conclusion and Recommendations</w:t>
      </w:r>
    </w:p>
    <w:p>
      <w:pPr>
        <w:pStyle w:val="FirstParagraph"/>
      </w:pPr>
      <w:r>
        <w:t xml:space="preserve">This detailed PCF analysis provides</w:t>
      </w:r>
      <w:r>
        <w:t xml:space="preserve"> </w:t>
      </w:r>
      <w:r>
        <w:rPr>
          <w:bCs/>
          <w:b/>
        </w:rPr>
        <w:t xml:space="preserve">lqhsroxfze</w:t>
      </w:r>
      <w:r>
        <w:t xml:space="preserve"> </w:t>
      </w:r>
      <w:r>
        <w:t xml:space="preserve">with a foundational understanding of the environmental impact of</w:t>
      </w:r>
      <w:r>
        <w:t xml:space="preserve"> </w:t>
      </w:r>
      <w:r>
        <w:rPr>
          <w:bCs/>
          <w:b/>
        </w:rPr>
        <w:t xml:space="preserve">ksqrzxezzf</w:t>
      </w:r>
      <w:r>
        <w:t xml:space="preserve">. Key recommendations for emission reduction would include:</w:t>
      </w:r>
    </w:p>
    <w:p>
      <w:pPr>
        <w:numPr>
          <w:ilvl w:val="0"/>
          <w:numId w:val="1014"/>
        </w:numPr>
        <w:pStyle w:val="Compact"/>
      </w:pPr>
      <w:r>
        <w:rPr>
          <w:bCs/>
          <w:b/>
        </w:rPr>
        <w:t xml:space="preserve">Material Optimization:</w:t>
      </w:r>
      <w:r>
        <w:t xml:space="preserve"> </w:t>
      </w:r>
      <w:r>
        <w:t xml:space="preserve">Prioritizing materials with lower embedded carbon (e.g., high recycled content materials as indicated by qxnogzfivh) and exploring sustainable alternatives.</w:t>
      </w:r>
    </w:p>
    <w:p>
      <w:pPr>
        <w:numPr>
          <w:ilvl w:val="0"/>
          <w:numId w:val="1014"/>
        </w:numPr>
        <w:pStyle w:val="Compact"/>
      </w:pPr>
      <w:r>
        <w:rPr>
          <w:bCs/>
          <w:b/>
        </w:rPr>
        <w:t xml:space="preserve">Energy Efficiency &amp; Renewables:</w:t>
      </w:r>
      <w:r>
        <w:t xml:space="preserve"> </w:t>
      </w:r>
      <w:r>
        <w:t xml:space="preserve">Further increasing</w:t>
      </w:r>
      <w:r>
        <w:t xml:space="preserve"> </w:t>
      </w:r>
      <w:r>
        <w:rPr>
          <w:bCs/>
          <w:b/>
        </w:rPr>
        <w:t xml:space="preserve">dhqwlfggrs</w:t>
      </w:r>
      <w:r>
        <w:t xml:space="preserve"> </w:t>
      </w:r>
      <w:r>
        <w:t xml:space="preserve">renewable energy usage in manufacturing and optimizing energy intensity (ijnetdgjdz) in the China-based production facility.</w:t>
      </w:r>
    </w:p>
    <w:p>
      <w:pPr>
        <w:numPr>
          <w:ilvl w:val="0"/>
          <w:numId w:val="1014"/>
        </w:numPr>
        <w:pStyle w:val="Compact"/>
      </w:pPr>
      <w:r>
        <w:rPr>
          <w:bCs/>
          <w:b/>
        </w:rPr>
        <w:t xml:space="preserve">Logistics Optimization:</w:t>
      </w:r>
      <w:r>
        <w:t xml:space="preserve"> </w:t>
      </w:r>
      <w:r>
        <w:t xml:space="preserve">Evaluating opportunities to shift from higher-emission transport modes (Select Mode) to lower-emission alternatives, especially given the oqlwppwvue distance and Europe-focused supply chain. Optimizing last-mile delivery (Delivery Type) can also yield reductions.</w:t>
      </w:r>
    </w:p>
    <w:p>
      <w:pPr>
        <w:numPr>
          <w:ilvl w:val="0"/>
          <w:numId w:val="1014"/>
        </w:numPr>
        <w:pStyle w:val="Compact"/>
      </w:pPr>
      <w:r>
        <w:rPr>
          <w:bCs/>
          <w:b/>
        </w:rPr>
        <w:t xml:space="preserve">Product Design for Circularity:</w:t>
      </w:r>
      <w:r>
        <w:t xml:space="preserve"> </w:t>
      </w:r>
      <w:r>
        <w:t xml:space="preserve">Enhancing product lifespan (vfrpyessin) and designing for easier recycling (qxnogzfivh) and participation in circular/take-back programs (nxxgjllwpg).</w:t>
      </w:r>
    </w:p>
    <w:p>
      <w:pPr>
        <w:numPr>
          <w:ilvl w:val="0"/>
          <w:numId w:val="1014"/>
        </w:numPr>
        <w:pStyle w:val="Compact"/>
      </w:pPr>
      <w:r>
        <w:rPr>
          <w:bCs/>
          <w:b/>
        </w:rPr>
        <w:t xml:space="preserve">Supplier Engagement:</w:t>
      </w:r>
      <w:r>
        <w:t xml:space="preserve"> </w:t>
      </w:r>
      <w:r>
        <w:t xml:space="preserve">Collaborating with suppliers to improve data quality and reduce upstream Scope 3 emissions in the European supply chain.</w:t>
      </w:r>
    </w:p>
    <w:p>
      <w:pPr>
        <w:pStyle w:val="FirstParagraph"/>
      </w:pPr>
      <w:r>
        <w:t xml:space="preserve">Continuous monitoring and regular updates to this PCF analysis are recommended to track progress, identify new opportunities for reduction, and ensure ongoing compliance with evolving standards like the GHG Protocol LSR update and Scope 3 reporting requirements.</w:t>
      </w:r>
    </w:p>
    <w:p>
      <w:pPr>
        <w:pStyle w:val="BodyText"/>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ksqrzxezzf</dc:title>
  <dc:creator/>
  <dc:description>High-detail Product Carbon Footprint (PCF) analysis report for ksqrzxezzf by xinifnviqv, Senior Sustainability Consultant at lqhsroxfze, adhering to GHG Protocol and 2026 LSR update.</dc:description>
  <dc:language>en</dc:language>
  <cp:keywords/>
  <dcterms:created xsi:type="dcterms:W3CDTF">2026-07-15T18:49:25Z</dcterms:created>
  <dcterms:modified xsi:type="dcterms:W3CDTF">2026-07-15T18:49:25Z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