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ksjyhhwmpu</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ksjyhhwmpu"/>
    <w:p>
      <w:pPr>
        <w:pStyle w:val="Heading2"/>
      </w:pPr>
      <w:r>
        <w:t xml:space="preserve">For Product: ksjyhhwmpu</w:t>
      </w:r>
    </w:p>
    <w:p>
      <w:pPr>
        <w:pStyle w:val="FirstParagraph"/>
      </w:pPr>
      <w:r>
        <w:rPr>
          <w:bCs/>
          <w:b/>
        </w:rPr>
        <w:t xml:space="preserve">Company Name:</w:t>
      </w:r>
      <w:r>
        <w:t xml:space="preserve"> </w:t>
      </w:r>
      <w:r>
        <w:t xml:space="preserve">etmidqxylq</w:t>
      </w:r>
    </w:p>
    <w:p>
      <w:pPr>
        <w:pStyle w:val="BodyText"/>
      </w:pPr>
      <w:r>
        <w:rPr>
          <w:bCs/>
          <w:b/>
        </w:rPr>
        <w:t xml:space="preserve">Senior Sustainability Consultant:</w:t>
      </w:r>
      <w:r>
        <w:t xml:space="preserve"> </w:t>
      </w:r>
      <w:r>
        <w:t xml:space="preserve">xefgfgqhyq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Actual emissions may vary based on specific operational details and data precision.</w:t>
      </w:r>
    </w:p>
    <w:bookmarkEnd w:id="20"/>
    <w:bookmarkEnd w:id="21"/>
    <w:bookmarkStart w:id="22" w:name="product-carbon-footprint-pcf-report"/>
    <w:p>
      <w:pPr>
        <w:pStyle w:val="Heading1"/>
      </w:pPr>
      <w:r>
        <w:t xml:space="preserve">Product Carbon Footprint (PCF) Report</w:t>
      </w:r>
    </w:p>
    <w:p>
      <w:pPr>
        <w:pStyle w:val="FirstParagraph"/>
      </w:pPr>
      <w:r>
        <w:rPr>
          <w:bCs/>
          <w:b/>
        </w:rPr>
        <w:t xml:space="preserve">Product:</w:t>
      </w:r>
      <w:r>
        <w:t xml:space="preserve"> </w:t>
      </w:r>
      <w:r>
        <w:t xml:space="preserve">ksjyhhwmpu</w:t>
      </w:r>
    </w:p>
    <w:p>
      <w:pPr>
        <w:pStyle w:val="BodyText"/>
      </w:pPr>
      <w:r>
        <w:rPr>
          <w:bCs/>
          <w:b/>
        </w:rPr>
        <w:t xml:space="preserve">Generated Date:</w:t>
      </w:r>
      <w:r>
        <w:t xml:space="preserve"> </w:t>
      </w:r>
      <w:r>
        <w:t xml:space="preserve">May 22,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ksjyhhwmpu</w:t>
      </w:r>
      <w:r>
        <w:t xml:space="preserve">, manufactured by</w:t>
      </w:r>
      <w:r>
        <w:t xml:space="preserve"> </w:t>
      </w:r>
      <w:r>
        <w:rPr>
          <w:bCs/>
          <w:b/>
        </w:rPr>
        <w:t xml:space="preserve">etmidqxylq</w:t>
      </w:r>
      <w:r>
        <w:t xml:space="preserve">. The analysis was conducted by Senior Sustainability Consultant</w:t>
      </w:r>
      <w:r>
        <w:t xml:space="preserve"> </w:t>
      </w:r>
      <w:r>
        <w:rPr>
          <w:bCs/>
          <w:b/>
        </w:rPr>
        <w:t xml:space="preserve">xefgfgqhyq</w:t>
      </w:r>
      <w:r>
        <w:t xml:space="preserve">, strictly adhering to the Greenhouse Gas (GHG) Protocol. The PCF quantifies the total greenhouse gas emissions associated with the product\'s lifecycle, from raw material extraction to end-of-life, providing critical insights into environmental impacts and potential reduction opportunities.</w:t>
      </w:r>
    </w:p>
    <w:bookmarkEnd w:id="23"/>
    <w:p>
      <w:r>
        <w:pict>
          <v:rect style="width:0;height:1.5pt" o:hralign="center" o:hrstd="t" o:hr="t"/>
        </w:pict>
      </w:r>
    </w:p>
    <w:bookmarkStart w:id="24" w:name="introduction"/>
    <w:p>
      <w:pPr>
        <w:pStyle w:val="Heading2"/>
      </w:pPr>
      <w:r>
        <w:t xml:space="preserve">1. Introduction</w:t>
      </w:r>
    </w:p>
    <w:p>
      <w:pPr>
        <w:pStyle w:val="FirstParagraph"/>
      </w:pPr>
      <w:r>
        <w:t xml:space="preserve">Understanding the environmental impact of products is crucial for sustainable business practices. This Product Carbon Footprint (PCF) report for</w:t>
      </w:r>
      <w:r>
        <w:t xml:space="preserve"> </w:t>
      </w:r>
      <w:r>
        <w:rPr>
          <w:bCs/>
          <w:b/>
        </w:rPr>
        <w:t xml:space="preserve">ksjyhhwmpu</w:t>
      </w:r>
      <w:r>
        <w:t xml:space="preserve"> </w:t>
      </w:r>
      <w:r>
        <w:t xml:space="preserve">provides a comprehensive assessment of its lifecycle greenhouse gas emissions. The study is performed for</w:t>
      </w:r>
      <w:r>
        <w:t xml:space="preserve"> </w:t>
      </w:r>
      <w:r>
        <w:rPr>
          <w:bCs/>
          <w:b/>
        </w:rPr>
        <w:t xml:space="preserve">etmidqxylq</w:t>
      </w:r>
      <w:r>
        <w:t xml:space="preserve"> </w:t>
      </w:r>
      <w:r>
        <w:t xml:space="preserve">by</w:t>
      </w:r>
      <w:r>
        <w:t xml:space="preserve"> </w:t>
      </w:r>
      <w:r>
        <w:rPr>
          <w:bCs/>
          <w:b/>
        </w:rPr>
        <w:t xml:space="preserve">xefgfgqhyq</w:t>
      </w:r>
      <w:r>
        <w:t xml:space="preserve">, a Senior Sustainability Consultant, in accordance with the</w:t>
      </w:r>
      <w:r>
        <w:t xml:space="preserve"> </w:t>
      </w:r>
      <w:r>
        <w:rPr>
          <w:bCs/>
          <w:b/>
        </w:rPr>
        <w:t xml:space="preserve">GHG Protocol</w:t>
      </w:r>
      <w:r>
        <w:t xml:space="preserve">.</w:t>
      </w:r>
    </w:p>
    <w:p>
      <w:pPr>
        <w:pStyle w:val="BodyText"/>
      </w:pPr>
      <w:r>
        <w:t xml:space="preserve">The analysis covers all relevant stages of the product\'s life, categorizing emissions into Scope 1 (direct emissions), Scope 2 (indirect emissions from purchased energy), and Scope 3 (all other indirect emissions in the value chain). Special attention has been paid to the 2026 updates, including the Land Sector and Removals (LSR) Standard and ensuring robust Scope 3 compliance.</w:t>
      </w:r>
    </w:p>
    <w:bookmarkEnd w:id="24"/>
    <w:p>
      <w:r>
        <w:pict>
          <v:rect style="width:0;height:1.5pt" o:hralign="center" o:hrstd="t" o:hr="t"/>
        </w:pict>
      </w:r>
    </w:p>
    <w:bookmarkStart w:id="40" w:name="methodology"/>
    <w:p>
      <w:pPr>
        <w:pStyle w:val="Heading2"/>
      </w:pPr>
      <w:r>
        <w:t xml:space="preserve">2. Methodology</w:t>
      </w:r>
    </w:p>
    <w:p>
      <w:pPr>
        <w:pStyle w:val="FirstParagraph"/>
      </w:pPr>
      <w:r>
        <w:t xml:space="preserve">The PCF analysis was conducted following the five key steps outlined below, in full compliance with the GHG Protocol Corporate Accounting and Reporting Standard and the Product Life Cycle Accounting and Reporting Standard.</w:t>
      </w:r>
    </w:p>
    <w:bookmarkStart w:id="25"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study is 1.0 unit of</w:t>
      </w:r>
      <w:r>
        <w:t xml:space="preserve"> </w:t>
      </w:r>
      <w:r>
        <w:rPr>
          <w:bCs/>
          <w:b/>
        </w:rPr>
        <w:t xml:space="preserve">ksjyhhwmpu</w:t>
      </w:r>
      <w:r>
        <w:t xml:space="preserve">.</w:t>
      </w:r>
    </w:p>
    <w:p>
      <w:pPr>
        <w:numPr>
          <w:ilvl w:val="0"/>
          <w:numId w:val="1001"/>
        </w:numPr>
        <w:pStyle w:val="Compact"/>
      </w:pPr>
      <w:r>
        <w:rPr>
          <w:bCs/>
          <w:b/>
        </w:rPr>
        <w:t xml:space="preserve">System Boundary:</w:t>
      </w:r>
      <w:r>
        <w:t xml:space="preserve"> </w:t>
      </w:r>
      <w:r>
        <w:t xml:space="preserve">The system boundary for this analysis is defined as "factory_gate", meaning the emissions are accounted for up to the point the product leaves the manufacturing facility. However, for a complete PCF, downstream stages (transport to customer, use phase, end-of-life) are also included in the detailed calculations.</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materials and global for general logistics and use phase assumptions.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the lifecycle.</w:t>
      </w:r>
    </w:p>
    <w:p>
      <w:pPr>
        <w:numPr>
          <w:ilvl w:val="0"/>
          <w:numId w:val="1001"/>
        </w:numPr>
        <w:pStyle w:val="Compact"/>
      </w:pPr>
      <w:r>
        <w:rPr>
          <w:bCs/>
          <w:b/>
        </w:rPr>
        <w:t xml:space="preserve">GHG Protocol Scopes:</w:t>
      </w:r>
    </w:p>
    <w:p>
      <w:pPr>
        <w:numPr>
          <w:ilvl w:val="1"/>
          <w:numId w:val="1002"/>
        </w:numPr>
        <w:pStyle w:val="Compact"/>
      </w:pPr>
      <w:r>
        <w:rPr>
          <w:bCs/>
          <w:b/>
        </w:rPr>
        <w:t xml:space="preserve">Scope 1:</w:t>
      </w:r>
      <w:r>
        <w:t xml:space="preserve"> </w:t>
      </w:r>
      <w:r>
        <w:t xml:space="preserve">Direct GHG emissions from sources owned or controlled by</w:t>
      </w:r>
      <w:r>
        <w:t xml:space="preserve"> </w:t>
      </w:r>
      <w:r>
        <w:rPr>
          <w:bCs/>
          <w:b/>
        </w:rPr>
        <w:t xml:space="preserve">etmidqxylq</w:t>
      </w:r>
      <w:r>
        <w:t xml:space="preserve"> </w:t>
      </w:r>
      <w:r>
        <w:t xml:space="preserve">(e.g., fuel combustion in owned vehicles/equipment at the factory). For this analysis, direct manufacturing emissions for the product are primarily considered within the factory operations.</w:t>
      </w:r>
    </w:p>
    <w:p>
      <w:pPr>
        <w:numPr>
          <w:ilvl w:val="1"/>
          <w:numId w:val="1002"/>
        </w:numPr>
        <w:pStyle w:val="Compact"/>
      </w:pPr>
      <w:r>
        <w:rPr>
          <w:bCs/>
          <w:b/>
        </w:rPr>
        <w:t xml:space="preserve">Scope 2:</w:t>
      </w:r>
      <w:r>
        <w:t xml:space="preserve"> </w:t>
      </w:r>
      <w:r>
        <w:t xml:space="preserve">Indirect GHG emissions from the generation of purchased electricity, steam, heat, or cooling consumed by</w:t>
      </w:r>
      <w:r>
        <w:t xml:space="preserve"> </w:t>
      </w:r>
      <w:r>
        <w:rPr>
          <w:bCs/>
          <w:b/>
        </w:rPr>
        <w:t xml:space="preserve">etmidqxylq</w:t>
      </w:r>
      <w:r>
        <w:t xml:space="preserve"> </w:t>
      </w:r>
      <w:r>
        <w:t xml:space="preserve">for the manufacturing of</w:t>
      </w:r>
      <w:r>
        <w:t xml:space="preserve"> </w:t>
      </w:r>
      <w:r>
        <w:rPr>
          <w:bCs/>
          <w:b/>
        </w:rPr>
        <w:t xml:space="preserve">ksjyhhwmpu</w:t>
      </w:r>
      <w:r>
        <w:t xml:space="preserve">.</w:t>
      </w:r>
    </w:p>
    <w:p>
      <w:pPr>
        <w:numPr>
          <w:ilvl w:val="1"/>
          <w:numId w:val="1002"/>
        </w:numPr>
        <w:pStyle w:val="Compact"/>
      </w:pPr>
      <w:r>
        <w:rPr>
          <w:bCs/>
          <w:b/>
        </w:rPr>
        <w:t xml:space="preserve">Scope 3:</w:t>
      </w:r>
      <w:r>
        <w:t xml:space="preserve"> </w:t>
      </w:r>
      <w:r>
        <w:t xml:space="preserve">All other indirect GHG emissions that occur in the value chain of</w:t>
      </w:r>
      <w:r>
        <w:t xml:space="preserve"> </w:t>
      </w:r>
      <w:r>
        <w:rPr>
          <w:bCs/>
          <w:b/>
        </w:rPr>
        <w:t xml:space="preserve">etmidqxylq</w:t>
      </w:r>
      <w:r>
        <w:t xml:space="preserve">, both upstream and downstream. This includes emissions from purchased goods and services (materials), capital goods, fuel- and energy-related activities not in Scope 1 or 2, upstream transportation and distribution, waste generated in operations, business travel, employee commuting, downstream transportation and distribution, processing of sold products, use of sold products, end-of-life treatment of sold products, leased assets, franchises, and investments. This report aims for at least 95% coverage for Scope 3 reporting.</w:t>
      </w:r>
    </w:p>
    <w:p>
      <w:pPr>
        <w:numPr>
          <w:ilvl w:val="0"/>
          <w:numId w:val="1001"/>
        </w:numPr>
        <w:pStyle w:val="Compact"/>
      </w:pPr>
      <w:r>
        <w:rPr>
          <w:bCs/>
          <w:b/>
        </w:rPr>
        <w:t xml:space="preserve">2026 LSR Update (Land Sector and Removals Standard):</w:t>
      </w:r>
      <w:r>
        <w:t xml:space="preserve"> </w:t>
      </w:r>
      <w:r>
        <w:t xml:space="preserve">The Land Sector and Removals (LSR) Standard, effective January 1, 2027, provides guidelines for quantifying, reporting, and tracking land emissions and CO₂ removals. While the primary focus of</w:t>
      </w:r>
      <w:r>
        <w:t xml:space="preserve"> </w:t>
      </w:r>
      <w:r>
        <w:rPr>
          <w:bCs/>
          <w:b/>
        </w:rPr>
        <w:t xml:space="preserve">ksjyhhwmpu</w:t>
      </w:r>
      <w:r>
        <w:t xml:space="preserve"> </w:t>
      </w:r>
      <w:r>
        <w:t xml:space="preserve">is a manufactured good, the LSR Standard is crucial for tracing land-use impacts within the upstream supply chain (e.g., raw material extraction, agricultural inputs if applicable) and for any potential carbon removal activities. As specific land-use data for individual BOM items is not available at this generic level, the importance of this standard for a comprehensive, real-world assessment of relevant upstream activities is acknowledged. Future iterations should incorporate LSR-compliant data for any land-intensive supply chain components.</w:t>
      </w:r>
    </w:p>
    <w:p>
      <w:pPr>
        <w:numPr>
          <w:ilvl w:val="0"/>
          <w:numId w:val="1001"/>
        </w:numPr>
        <w:pStyle w:val="Compact"/>
      </w:pPr>
      <w:r>
        <w:rPr>
          <w:bCs/>
          <w:b/>
        </w:rPr>
        <w:t xml:space="preserve">Scope 3 Compliance:</w:t>
      </w:r>
      <w:r>
        <w:t xml:space="preserve"> </w:t>
      </w:r>
      <w:r>
        <w:t xml:space="preserve">In line with 2026 requirements, this report aims for at least 95% coverage for Scope 3 emissions by including significant categories such as purchased materials, transport, manufacturing energy, use phase, and end-of-life.</w:t>
      </w:r>
    </w:p>
    <w:bookmarkEnd w:id="25"/>
    <w:bookmarkStart w:id="26" w:name="Xef2cad8b6715bfd9664e6ec6d96ac44c4a46fb4"/>
    <w:p>
      <w:pPr>
        <w:pStyle w:val="Heading3"/>
      </w:pPr>
      <w:r>
        <w:t xml:space="preserve">2.2. Step 2: Map Lifecycle (LCI inventory stages)</w:t>
      </w:r>
    </w:p>
    <w:p>
      <w:pPr>
        <w:pStyle w:val="FirstParagraph"/>
      </w:pPr>
      <w:r>
        <w:t xml:space="preserve">The lifecycle of</w:t>
      </w:r>
      <w:r>
        <w:t xml:space="preserve"> </w:t>
      </w:r>
      <w:r>
        <w:rPr>
          <w:bCs/>
          <w:b/>
        </w:rPr>
        <w:t xml:space="preserve">ksjyhhwmpu</w:t>
      </w:r>
      <w:r>
        <w:t xml:space="preserve"> </w:t>
      </w:r>
      <w:r>
        <w:t xml:space="preserve">is mapped across several key stages to capture all significant emission sources:</w:t>
      </w:r>
    </w:p>
    <w:p>
      <w:pPr>
        <w:numPr>
          <w:ilvl w:val="0"/>
          <w:numId w:val="1003"/>
        </w:numPr>
        <w:pStyle w:val="Compact"/>
      </w:pPr>
      <w:r>
        <w:rPr>
          <w:bCs/>
          <w:b/>
        </w:rPr>
        <w:t xml:space="preserve">Raw Material Acquisition &amp; Pre-processing (Upstream Scope 3):</w:t>
      </w:r>
      <w:r>
        <w:t xml:space="preserve"> </w:t>
      </w:r>
      <w:r>
        <w:t xml:space="preserve">Extraction and processing of raw materials.</w:t>
      </w:r>
    </w:p>
    <w:p>
      <w:pPr>
        <w:numPr>
          <w:ilvl w:val="0"/>
          <w:numId w:val="1003"/>
        </w:numPr>
        <w:pStyle w:val="Compact"/>
      </w:pPr>
      <w:r>
        <w:rPr>
          <w:bCs/>
          <w:b/>
        </w:rPr>
        <w:t xml:space="preserve">Manufacturing (Scope 1 &amp; 2, Upstream Scope 3 for capital goods, etc.):</w:t>
      </w:r>
      <w:r>
        <w:t xml:space="preserve"> </w:t>
      </w:r>
      <w:r>
        <w:t xml:space="preserve">Production processes at</w:t>
      </w:r>
      <w:r>
        <w:t xml:space="preserve"> </w:t>
      </w:r>
      <w:r>
        <w:rPr>
          <w:bCs/>
          <w:b/>
        </w:rPr>
        <w:t xml:space="preserve">etmidqxylq</w:t>
      </w:r>
      <w:r>
        <w:t xml:space="preserve">\'s facility, including energy consumption and direct emissions.</w:t>
      </w:r>
    </w:p>
    <w:p>
      <w:pPr>
        <w:numPr>
          <w:ilvl w:val="0"/>
          <w:numId w:val="1003"/>
        </w:numPr>
        <w:pStyle w:val="Compact"/>
      </w:pPr>
      <w:r>
        <w:rPr>
          <w:bCs/>
          <w:b/>
        </w:rPr>
        <w:t xml:space="preserve">Transportation (Upstream &amp; Downstream Scope 3):</w:t>
      </w:r>
      <w:r>
        <w:t xml:space="preserve"> </w:t>
      </w:r>
      <w:r>
        <w:t xml:space="preserve">Logistics of raw materials to the factory, and finished products to the customer (including last-mile delivery).</w:t>
      </w:r>
    </w:p>
    <w:p>
      <w:pPr>
        <w:numPr>
          <w:ilvl w:val="0"/>
          <w:numId w:val="1003"/>
        </w:numPr>
        <w:pStyle w:val="Compact"/>
      </w:pPr>
      <w:r>
        <w:rPr>
          <w:bCs/>
          <w:b/>
        </w:rPr>
        <w:t xml:space="preserve">Use Phase (Downstream Scope 3):</w:t>
      </w:r>
      <w:r>
        <w:t xml:space="preserve"> </w:t>
      </w:r>
      <w:r>
        <w:t xml:space="preserve">Energy consumption and other impacts during the product\'s operational life.</w:t>
      </w:r>
    </w:p>
    <w:p>
      <w:pPr>
        <w:numPr>
          <w:ilvl w:val="0"/>
          <w:numId w:val="1003"/>
        </w:numPr>
        <w:pStyle w:val="Compact"/>
      </w:pPr>
      <w:r>
        <w:rPr>
          <w:bCs/>
          <w:b/>
        </w:rPr>
        <w:t xml:space="preserve">End-of-Life (Downstream Scope 3):</w:t>
      </w:r>
      <w:r>
        <w:t xml:space="preserve"> </w:t>
      </w:r>
      <w:r>
        <w:t xml:space="preserve">Disposal, recycling, or recovery processes at the end of the product\'s useful life.</w:t>
      </w:r>
    </w:p>
    <w:bookmarkEnd w:id="26"/>
    <w:bookmarkStart w:id="32" w:name="X46460218b75090116924b5e02e281dcf8597f63"/>
    <w:p>
      <w:pPr>
        <w:pStyle w:val="Heading3"/>
      </w:pPr>
      <w:r>
        <w:t xml:space="preserve">2.3. Step 3: Collect Data (Primary/Secondary data points)</w:t>
      </w:r>
    </w:p>
    <w:p>
      <w:pPr>
        <w:pStyle w:val="FirstParagraph"/>
      </w:pPr>
      <w:r>
        <w:t xml:space="preserve">Data was collected from various sources, prioritizing primary data where available and supplementing with robust secondary data (industry-standard emission factors) for comprehensive coverage. Due to the placeholder nature of some parameters, illustrative but representative values are used as defined in the introduction.</w:t>
      </w:r>
    </w:p>
    <w:bookmarkStart w:id="27" w:name="detailed-bill-of-materials-bom"/>
    <w:p>
      <w:pPr>
        <w:pStyle w:val="Heading4"/>
      </w:pPr>
      <w:r>
        <w:t xml:space="preserve">Detailed Bill of Materials (BOM):</w:t>
      </w:r>
    </w:p>
    <w:p>
      <w:pPr>
        <w:pStyle w:val="FirstParagraph"/>
      </w:pPr>
      <w:r>
        <w:t xml:space="preserve">The following detailed Bill of Materials (BOM) for</w:t>
      </w:r>
      <w:r>
        <w:t xml:space="preserve"> </w:t>
      </w:r>
      <w:r>
        <w:rPr>
          <w:bCs/>
          <w:b/>
        </w:rPr>
        <w:t xml:space="preserve">ksjyhhwmpu</w:t>
      </w:r>
      <w:r>
        <w:t xml:space="preserve"> </w:t>
      </w:r>
      <w:r>
        <w:t xml:space="preserve">was used for high-accuracy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5.00</w:t>
            </w:r>
          </w:p>
        </w:tc>
        <w:tc>
          <w:tcPr/>
          <w:p>
            <w:pPr>
              <w:pStyle w:val="Compact"/>
              <w:jc w:val="left"/>
            </w:pPr>
            <w:r>
              <w:t xml:space="preserve">0.10</w:t>
            </w:r>
          </w:p>
        </w:tc>
      </w:tr>
      <w:tr>
        <w:tc>
          <w:tcPr/>
          <w:p>
            <w:pPr>
              <w:pStyle w:val="Compact"/>
              <w:jc w:val="left"/>
            </w:pPr>
            <w:r>
              <w:t xml:space="preserve">M005</w:t>
            </w:r>
          </w:p>
        </w:tc>
        <w:tc>
          <w:tcPr/>
          <w:p>
            <w:pPr>
              <w:pStyle w:val="Compact"/>
              <w:jc w:val="left"/>
            </w:pPr>
            <w:r>
              <w:t xml:space="preserve">Battery (Li-ion)</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15.00</w:t>
            </w:r>
          </w:p>
        </w:tc>
        <w:tc>
          <w:tcPr/>
          <w:p>
            <w:pPr>
              <w:pStyle w:val="Compact"/>
              <w:jc w:val="left"/>
            </w:pPr>
            <w:r>
              <w:t xml:space="preserve">1.20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1.20</w:t>
            </w:r>
          </w:p>
        </w:tc>
        <w:tc>
          <w:tcPr/>
          <w:p>
            <w:pPr>
              <w:pStyle w:val="Compact"/>
              <w:jc w:val="left"/>
            </w:pPr>
            <w:r>
              <w:t xml:space="preserve">0.18</w:t>
            </w:r>
          </w:p>
        </w:tc>
      </w:tr>
    </w:tbl>
    <w:bookmarkEnd w:id="27"/>
    <w:bookmarkStart w:id="28" w:name="logistics-data"/>
    <w:p>
      <w:pPr>
        <w:pStyle w:val="Heading4"/>
      </w:pPr>
      <w:r>
        <w:t xml:space="preserve">Logistics Data:</w:t>
      </w:r>
    </w:p>
    <w:p>
      <w:pPr>
        <w:numPr>
          <w:ilvl w:val="0"/>
          <w:numId w:val="1004"/>
        </w:numPr>
        <w:pStyle w:val="Compact"/>
      </w:pPr>
      <w:r>
        <w:rPr>
          <w:bCs/>
          <w:b/>
        </w:rPr>
        <w:t xml:space="preserve">Upstream Transport (Materials, assumed Europe to China):</w:t>
      </w:r>
    </w:p>
    <w:p>
      <w:pPr>
        <w:numPr>
          <w:ilvl w:val="1"/>
          <w:numId w:val="1005"/>
        </w:numPr>
        <w:pStyle w:val="Compact"/>
      </w:pPr>
      <w:r>
        <w:t xml:space="preserve">Mode: Ocean Freight (Container Ship)</w:t>
      </w:r>
    </w:p>
    <w:p>
      <w:pPr>
        <w:numPr>
          <w:ilvl w:val="1"/>
          <w:numId w:val="1005"/>
        </w:numPr>
        <w:pStyle w:val="Compact"/>
      </w:pPr>
      <w:r>
        <w:t xml:space="preserve">Distance: 15,000 km</w:t>
      </w:r>
    </w:p>
    <w:p>
      <w:pPr>
        <w:numPr>
          <w:ilvl w:val="1"/>
          <w:numId w:val="1005"/>
        </w:numPr>
        <w:pStyle w:val="Compact"/>
      </w:pPr>
      <w:r>
        <w:t xml:space="preserve">Total Material Weight (from BOM): 0.6 kg</w:t>
      </w:r>
    </w:p>
    <w:p>
      <w:pPr>
        <w:numPr>
          <w:ilvl w:val="0"/>
          <w:numId w:val="1004"/>
        </w:numPr>
        <w:pStyle w:val="Compact"/>
      </w:pPr>
      <w:r>
        <w:rPr>
          <w:bCs/>
          <w:b/>
        </w:rPr>
        <w:t xml:space="preserve">Downstream Transport (Product, assumed China to Europe):</w:t>
      </w:r>
    </w:p>
    <w:p>
      <w:pPr>
        <w:numPr>
          <w:ilvl w:val="1"/>
          <w:numId w:val="1006"/>
        </w:numPr>
        <w:pStyle w:val="Compact"/>
      </w:pPr>
      <w:r>
        <w:t xml:space="preserve">Main Transport Mode: Ocean Freight (Container Ship)</w:t>
      </w:r>
    </w:p>
    <w:p>
      <w:pPr>
        <w:numPr>
          <w:ilvl w:val="1"/>
          <w:numId w:val="1006"/>
        </w:numPr>
        <w:pStyle w:val="Compact"/>
      </w:pPr>
      <w:r>
        <w:t xml:space="preserve">Main Transport Distance: 15,000 km</w:t>
      </w:r>
    </w:p>
    <w:p>
      <w:pPr>
        <w:numPr>
          <w:ilvl w:val="1"/>
          <w:numId w:val="1006"/>
        </w:numPr>
        <w:pStyle w:val="Compact"/>
      </w:pPr>
      <w:r>
        <w:t xml:space="preserve">Product Weight: 0.6 kg (sum of BOM, excluding packaging which is part of downstream)</w:t>
      </w:r>
    </w:p>
    <w:p>
      <w:pPr>
        <w:numPr>
          <w:ilvl w:val="0"/>
          <w:numId w:val="1004"/>
        </w:numPr>
        <w:pStyle w:val="Compact"/>
      </w:pPr>
      <w:r>
        <w:rPr>
          <w:bCs/>
          <w:b/>
        </w:rPr>
        <w:t xml:space="preserve">Last-Mile Delivery Channel (in Europe):</w:t>
      </w:r>
    </w:p>
    <w:p>
      <w:pPr>
        <w:numPr>
          <w:ilvl w:val="1"/>
          <w:numId w:val="1007"/>
        </w:numPr>
        <w:pStyle w:val="Compact"/>
      </w:pPr>
      <w:r>
        <w:t xml:space="preserve">Delivery Type: Road Freight (Light Commercial Vehicle)</w:t>
      </w:r>
    </w:p>
    <w:p>
      <w:pPr>
        <w:numPr>
          <w:ilvl w:val="1"/>
          <w:numId w:val="1007"/>
        </w:numPr>
        <w:pStyle w:val="Compact"/>
      </w:pPr>
      <w:r>
        <w:t xml:space="preserve">Last-Mile Distance: 500 km</w:t>
      </w:r>
    </w:p>
    <w:p>
      <w:pPr>
        <w:numPr>
          <w:ilvl w:val="1"/>
          <w:numId w:val="1007"/>
        </w:numPr>
        <w:pStyle w:val="Compact"/>
      </w:pPr>
      <w:r>
        <w:t xml:space="preserve">Product Weight: 0.6 kg</w:t>
      </w:r>
    </w:p>
    <w:bookmarkEnd w:id="28"/>
    <w:bookmarkStart w:id="29" w:name="X5077dc433e1da7ac35c89ed02c6fc33082866a4"/>
    <w:p>
      <w:pPr>
        <w:pStyle w:val="Heading4"/>
      </w:pPr>
      <w:r>
        <w:t xml:space="preserve">Energy Customization Data (Production Phase):</w:t>
      </w:r>
    </w:p>
    <w:p>
      <w:pPr>
        <w:numPr>
          <w:ilvl w:val="0"/>
          <w:numId w:val="1008"/>
        </w:numPr>
        <w:pStyle w:val="Compact"/>
      </w:pPr>
      <w:r>
        <w:rPr>
          <w:bCs/>
          <w:b/>
        </w:rPr>
        <w:t xml:space="preserve">Renewable Energy Usage:</w:t>
      </w:r>
      <w:r>
        <w:t xml:space="preserve"> </w:t>
      </w:r>
      <w:r>
        <w:t xml:space="preserve">30%</w:t>
      </w:r>
    </w:p>
    <w:p>
      <w:pPr>
        <w:numPr>
          <w:ilvl w:val="0"/>
          <w:numId w:val="1008"/>
        </w:numPr>
        <w:pStyle w:val="Compact"/>
      </w:pPr>
      <w:r>
        <w:rPr>
          <w:bCs/>
          <w:b/>
        </w:rPr>
        <w:t xml:space="preserve">Energy Intensity (kWh/unit):</w:t>
      </w:r>
      <w:r>
        <w:t xml:space="preserve"> </w:t>
      </w:r>
      <w:r>
        <w:t xml:space="preserve">10 kWh/unit</w:t>
      </w:r>
    </w:p>
    <w:p>
      <w:pPr>
        <w:numPr>
          <w:ilvl w:val="0"/>
          <w:numId w:val="1008"/>
        </w:numPr>
        <w:pStyle w:val="Compact"/>
      </w:pPr>
      <w:r>
        <w:rPr>
          <w:bCs/>
          <w:b/>
        </w:rPr>
        <w:t xml:space="preserve">Electricity Emission Factor (China Grid Average):</w:t>
      </w:r>
      <w:r>
        <w:t xml:space="preserve"> </w:t>
      </w:r>
      <w:r>
        <w:t xml:space="preserve">0.65 kg CO2e/kWh</w:t>
      </w:r>
    </w:p>
    <w:bookmarkEnd w:id="29"/>
    <w:bookmarkStart w:id="30" w:name="use-phase-data"/>
    <w:p>
      <w:pPr>
        <w:pStyle w:val="Heading4"/>
      </w:pPr>
      <w:r>
        <w:t xml:space="preserve">Use Phase Data:</w:t>
      </w:r>
    </w:p>
    <w:p>
      <w:pPr>
        <w:numPr>
          <w:ilvl w:val="0"/>
          <w:numId w:val="1009"/>
        </w:numPr>
        <w:pStyle w:val="Compact"/>
      </w:pPr>
      <w:r>
        <w:rPr>
          <w:bCs/>
          <w:b/>
        </w:rPr>
        <w:t xml:space="preserve">Product Lifespan:</w:t>
      </w:r>
      <w:r>
        <w:t xml:space="preserve"> </w:t>
      </w:r>
      <w:r>
        <w:t xml:space="preserve">3 years</w:t>
      </w:r>
    </w:p>
    <w:p>
      <w:pPr>
        <w:numPr>
          <w:ilvl w:val="0"/>
          <w:numId w:val="1009"/>
        </w:numPr>
        <w:pStyle w:val="Compact"/>
      </w:pPr>
      <w:r>
        <w:rPr>
          <w:bCs/>
          <w:b/>
        </w:rPr>
        <w:t xml:space="preserve">Energy Consumption in Use:</w:t>
      </w:r>
      <w:r>
        <w:t xml:space="preserve"> </w:t>
      </w:r>
      <w:r>
        <w:t xml:space="preserve">5 kWh/year</w:t>
      </w:r>
    </w:p>
    <w:p>
      <w:pPr>
        <w:numPr>
          <w:ilvl w:val="0"/>
          <w:numId w:val="1009"/>
        </w:numPr>
        <w:pStyle w:val="Compact"/>
      </w:pPr>
      <w:r>
        <w:rPr>
          <w:bCs/>
          <w:b/>
        </w:rPr>
        <w:t xml:space="preserve">Electricity Emission Factor (Europe Grid Average):</w:t>
      </w:r>
      <w:r>
        <w:t xml:space="preserve"> </w:t>
      </w:r>
      <w:r>
        <w:t xml:space="preserve">0.25 kg CO2e/kWh</w:t>
      </w:r>
    </w:p>
    <w:bookmarkEnd w:id="30"/>
    <w:bookmarkStart w:id="31" w:name="end-of-life-eol-scenarios"/>
    <w:p>
      <w:pPr>
        <w:pStyle w:val="Heading4"/>
      </w:pPr>
      <w:r>
        <w:t xml:space="preserve">End-of-Life (EoL) Scenarios:</w:t>
      </w:r>
    </w:p>
    <w:p>
      <w:pPr>
        <w:numPr>
          <w:ilvl w:val="0"/>
          <w:numId w:val="1010"/>
        </w:numPr>
        <w:pStyle w:val="Compact"/>
      </w:pPr>
      <w:r>
        <w:rPr>
          <w:bCs/>
          <w:b/>
        </w:rPr>
        <w:t xml:space="preserve">Recyclability Percentage:</w:t>
      </w:r>
      <w:r>
        <w:t xml:space="preserve"> </w:t>
      </w:r>
      <w:r>
        <w:t xml:space="preserve">60% (of total product mass)</w:t>
      </w:r>
    </w:p>
    <w:p>
      <w:pPr>
        <w:numPr>
          <w:ilvl w:val="0"/>
          <w:numId w:val="1010"/>
        </w:numPr>
        <w:pStyle w:val="Compact"/>
      </w:pPr>
      <w:r>
        <w:rPr>
          <w:bCs/>
          <w:b/>
        </w:rPr>
        <w:t xml:space="preserve">Circular/Take-back Programs:</w:t>
      </w:r>
      <w:r>
        <w:t xml:space="preserve"> </w:t>
      </w:r>
      <w:r>
        <w:t xml:space="preserve">Yes, a collection and recycling program for electronics.</w:t>
      </w:r>
    </w:p>
    <w:p>
      <w:pPr>
        <w:numPr>
          <w:ilvl w:val="0"/>
          <w:numId w:val="1010"/>
        </w:numPr>
        <w:pStyle w:val="Compact"/>
      </w:pPr>
      <w:r>
        <w:rPr>
          <w:bCs/>
          <w:b/>
        </w:rPr>
        <w:t xml:space="preserve">Illustrative EoL Emission Factor (Landfill/Incineration for non-recycled):</w:t>
      </w:r>
      <w:r>
        <w:t xml:space="preserve"> </w:t>
      </w:r>
      <w:r>
        <w:t xml:space="preserve">1.0 kg CO2e/kg (simplified, for plastics/electronics components)</w:t>
      </w:r>
    </w:p>
    <w:p>
      <w:pPr>
        <w:numPr>
          <w:ilvl w:val="0"/>
          <w:numId w:val="1010"/>
        </w:numPr>
        <w:pStyle w:val="Compact"/>
      </w:pPr>
      <w:r>
        <w:rPr>
          <w:bCs/>
          <w:b/>
        </w:rPr>
        <w:t xml:space="preserve">Illustrative Recycling Credit:</w:t>
      </w:r>
      <w:r>
        <w:t xml:space="preserve"> </w:t>
      </w:r>
      <w:r>
        <w:t xml:space="preserve">80% avoidance of virgin material emissions for recycled portion.</w:t>
      </w:r>
    </w:p>
    <w:bookmarkEnd w:id="31"/>
    <w:bookmarkEnd w:id="32"/>
    <w:bookmarkStart w:id="36" w:name="Xa991e7faf76bdf88064e0090ec77f0e137174e3"/>
    <w:p>
      <w:pPr>
        <w:pStyle w:val="Heading3"/>
      </w:pPr>
      <w:r>
        <w:t xml:space="preserve">2.4. Step 4: Calculate Emissions (Activity * Emission Factor = CO2e)</w:t>
      </w:r>
    </w:p>
    <w:p>
      <w:pPr>
        <w:pStyle w:val="FirstParagraph"/>
      </w:pPr>
      <w:r>
        <w:t xml:space="preserve">Emissions are calculated for each stage of the product lifecycle using activity data and relevant emission factors (EFs).</w:t>
      </w:r>
    </w:p>
    <w:bookmarkStart w:id="33" w:name="X8c642b6e0c49d8d1c0a93c4fd19f8bd97050907"/>
    <w:p>
      <w:pPr>
        <w:pStyle w:val="Heading4"/>
      </w:pPr>
      <w:r>
        <w:t xml:space="preserve">Emission Factors Used (Illustrative &amp; Industry-Standard):</w:t>
      </w:r>
    </w:p>
    <w:p>
      <w:pPr>
        <w:numPr>
          <w:ilvl w:val="0"/>
          <w:numId w:val="1011"/>
        </w:numPr>
        <w:pStyle w:val="Compact"/>
      </w:pPr>
      <w:r>
        <w:t xml:space="preserve">Electricity (China Grid Average): 0.65 kg CO2e/kWh</w:t>
      </w:r>
    </w:p>
    <w:p>
      <w:pPr>
        <w:numPr>
          <w:ilvl w:val="0"/>
          <w:numId w:val="1011"/>
        </w:numPr>
        <w:pStyle w:val="Compact"/>
      </w:pPr>
      <w:r>
        <w:t xml:space="preserve">Electricity (Europe Grid Average): 0.25 kg CO2e/kWh</w:t>
      </w:r>
    </w:p>
    <w:p>
      <w:pPr>
        <w:numPr>
          <w:ilvl w:val="0"/>
          <w:numId w:val="1011"/>
        </w:numPr>
        <w:pStyle w:val="Compact"/>
      </w:pPr>
      <w:r>
        <w:t xml:space="preserve">Ocean Freight (Container Ship): 0.015 kg CO2e/tonne-km</w:t>
      </w:r>
    </w:p>
    <w:p>
      <w:pPr>
        <w:numPr>
          <w:ilvl w:val="0"/>
          <w:numId w:val="1011"/>
        </w:numPr>
        <w:pStyle w:val="Compact"/>
      </w:pPr>
      <w:r>
        <w:t xml:space="preserve">Road Freight (Heavy Goods Vehicle): 0.08 kg CO2e/tonne-km</w:t>
      </w:r>
    </w:p>
    <w:p>
      <w:pPr>
        <w:numPr>
          <w:ilvl w:val="0"/>
          <w:numId w:val="1011"/>
        </w:numPr>
        <w:pStyle w:val="Compact"/>
      </w:pPr>
      <w:r>
        <w:t xml:space="preserve">Road Freight (Light Commercial Vehicle): 0.15 kg CO2e/tonne-km (assuming 1-tonne payload for 0.15 kg CO2/km)</w:t>
      </w:r>
    </w:p>
    <w:p>
      <w:pPr>
        <w:numPr>
          <w:ilvl w:val="0"/>
          <w:numId w:val="1011"/>
        </w:numPr>
        <w:pStyle w:val="Compact"/>
      </w:pPr>
      <w:r>
        <w:t xml:space="preserve">EoL Landfill/Incineration: 1.0 kg CO2e/kg (for non-recycled waste)</w:t>
      </w:r>
    </w:p>
    <w:p>
      <w:pPr>
        <w:numPr>
          <w:ilvl w:val="0"/>
          <w:numId w:val="1011"/>
        </w:numPr>
        <w:pStyle w:val="Compact"/>
      </w:pPr>
      <w:r>
        <w:t xml:space="preserve">EoL Recycling Credit: 80% avoidance of virgin material emissions for recycled portion.</w:t>
      </w:r>
    </w:p>
    <w:bookmarkEnd w:id="33"/>
    <w:bookmarkStart w:id="34" w:name="detailed-calculations"/>
    <w:p>
      <w:pPr>
        <w:pStyle w:val="Heading4"/>
      </w:pPr>
      <w:r>
        <w:t xml:space="preserve">Detailed Calculations:</w:t>
      </w:r>
    </w:p>
    <w:p>
      <w:pPr>
        <w:pStyle w:val="FirstParagraph"/>
      </w:pPr>
      <w:r>
        <w:rPr>
          <w:bCs/>
          <w:b/>
        </w:rPr>
        <w:t xml:space="preserve">1. Materials Acquisition &amp; Pre-processing (Upstream - Scope 3, Category 1: Purchased Goods and Services)</w:t>
      </w:r>
    </w:p>
    <w:p>
      <w:pPr>
        <w:pStyle w:val="BodyText"/>
      </w:pPr>
      <w:r>
        <w:t xml:space="preserve">Total Material Carbon = Sum of (Qty * Emission Factor) from BOM table = 0.60 + 1.00 + 1.25 + 0.10 + 1.20 + 0.18 = 4.33 kg CO2e</w:t>
      </w:r>
    </w:p>
    <w:p>
      <w:pPr>
        <w:pStyle w:val="BodyText"/>
      </w:pPr>
      <w:r>
        <w:rPr>
          <w:bCs/>
          <w:b/>
        </w:rPr>
        <w:t xml:space="preserve">2. Manufacturing (Scope 1 &amp; 2)</w:t>
      </w:r>
    </w:p>
    <w:p>
      <w:pPr>
        <w:numPr>
          <w:ilvl w:val="0"/>
          <w:numId w:val="1012"/>
        </w:numPr>
        <w:pStyle w:val="Compact"/>
      </w:pPr>
      <w:r>
        <w:rPr>
          <w:bCs/>
          <w:b/>
        </w:rPr>
        <w:t xml:space="preserve">Scope 2 (Purchased Electricity):</w:t>
      </w:r>
    </w:p>
    <w:p>
      <w:pPr>
        <w:numPr>
          <w:ilvl w:val="1"/>
          <w:numId w:val="1013"/>
        </w:numPr>
        <w:pStyle w:val="Compact"/>
      </w:pPr>
      <w:r>
        <w:t xml:space="preserve">Non-renewable energy usage = (1 - 30%) = 70%</w:t>
      </w:r>
    </w:p>
    <w:p>
      <w:pPr>
        <w:numPr>
          <w:ilvl w:val="1"/>
          <w:numId w:val="1013"/>
        </w:numPr>
        <w:pStyle w:val="Compact"/>
      </w:pPr>
      <w:r>
        <w:t xml:space="preserve">Emissions = Energy Intensity * Non-renewable Usage * China Electricity EF</w:t>
      </w:r>
    </w:p>
    <w:p>
      <w:pPr>
        <w:numPr>
          <w:ilvl w:val="1"/>
          <w:numId w:val="1013"/>
        </w:numPr>
        <w:pStyle w:val="Compact"/>
      </w:pPr>
      <w:r>
        <w:t xml:space="preserve">Emissions = 10 kWh/unit * 0.70 * 0.65 kg CO2e/kWh = 4.55 kg CO2e</w:t>
      </w:r>
    </w:p>
    <w:p>
      <w:pPr>
        <w:numPr>
          <w:ilvl w:val="0"/>
          <w:numId w:val="1012"/>
        </w:numPr>
        <w:pStyle w:val="Compact"/>
      </w:pPr>
      <w:r>
        <w:rPr>
          <w:bCs/>
          <w:b/>
        </w:rPr>
        <w:t xml:space="preserve">Scope 1 (Direct Emissions):</w:t>
      </w:r>
      <w:r>
        <w:t xml:space="preserve"> </w:t>
      </w:r>
      <w:r>
        <w:t xml:space="preserve">Assumed negligible for direct combustion at the factory gate for this product. A comprehensive analysis would include fuel use for boilers, forklifts, etc.</w:t>
      </w:r>
    </w:p>
    <w:p>
      <w:pPr>
        <w:numPr>
          <w:ilvl w:val="0"/>
          <w:numId w:val="1012"/>
        </w:numPr>
        <w:pStyle w:val="Compact"/>
      </w:pPr>
      <w:r>
        <w:rPr>
          <w:bCs/>
          <w:b/>
        </w:rPr>
        <w:t xml:space="preserve">Total Manufacturing (Scope 1 &amp; 2) = 4.55 kg CO2e</w:t>
      </w:r>
    </w:p>
    <w:p>
      <w:pPr>
        <w:pStyle w:val="FirstParagraph"/>
      </w:pPr>
      <w:r>
        <w:rPr>
          <w:bCs/>
          <w:b/>
        </w:rPr>
        <w:t xml:space="preserve">3. Transportation (Scope 3, Category 4: Upstream Transportation &amp; Distribution, Category 9: Downstream Transportation &amp; Distribution)</w:t>
      </w:r>
    </w:p>
    <w:p>
      <w:pPr>
        <w:numPr>
          <w:ilvl w:val="0"/>
          <w:numId w:val="1014"/>
        </w:numPr>
        <w:pStyle w:val="Compact"/>
      </w:pPr>
      <w:r>
        <w:rPr>
          <w:bCs/>
          <w:b/>
        </w:rPr>
        <w:t xml:space="preserve">Upstream Transport (Materials):</w:t>
      </w:r>
    </w:p>
    <w:p>
      <w:pPr>
        <w:numPr>
          <w:ilvl w:val="1"/>
          <w:numId w:val="1015"/>
        </w:numPr>
        <w:pStyle w:val="Compact"/>
      </w:pPr>
      <w:r>
        <w:t xml:space="preserve">Total Material Weight = 0.6 kg</w:t>
      </w:r>
    </w:p>
    <w:p>
      <w:pPr>
        <w:numPr>
          <w:ilvl w:val="1"/>
          <w:numId w:val="1015"/>
        </w:numPr>
        <w:pStyle w:val="Compact"/>
      </w:pPr>
      <w:r>
        <w:t xml:space="preserve">Emissions = Total Material Weight (tonne) * Distance (km) * Ocean Freight EF (kg CO2e/tonne-km)</w:t>
      </w:r>
    </w:p>
    <w:p>
      <w:pPr>
        <w:numPr>
          <w:ilvl w:val="1"/>
          <w:numId w:val="1015"/>
        </w:numPr>
        <w:pStyle w:val="Compact"/>
      </w:pPr>
      <w:r>
        <w:t xml:space="preserve">Emissions = (0.6 / 1000) tonne * 15,000 km * 0.015 kg CO2e/tonne-km = 0.135 kg CO2e</w:t>
      </w:r>
    </w:p>
    <w:p>
      <w:pPr>
        <w:numPr>
          <w:ilvl w:val="0"/>
          <w:numId w:val="1014"/>
        </w:numPr>
        <w:pStyle w:val="Compact"/>
      </w:pPr>
      <w:r>
        <w:rPr>
          <w:bCs/>
          <w:b/>
        </w:rPr>
        <w:t xml:space="preserve">Downstream Transport (Finished Product - Main Leg):</w:t>
      </w:r>
    </w:p>
    <w:p>
      <w:pPr>
        <w:numPr>
          <w:ilvl w:val="1"/>
          <w:numId w:val="1016"/>
        </w:numPr>
        <w:pStyle w:val="Compact"/>
      </w:pPr>
      <w:r>
        <w:t xml:space="preserve">Product Weight (excluding packaging) = 0.6 kg</w:t>
      </w:r>
    </w:p>
    <w:p>
      <w:pPr>
        <w:numPr>
          <w:ilvl w:val="1"/>
          <w:numId w:val="1016"/>
        </w:numPr>
        <w:pStyle w:val="Compact"/>
      </w:pPr>
      <w:r>
        <w:t xml:space="preserve">Emissions = Product Weight (tonne) * Distance (km) * Ocean Freight EF (kg CO2e/tonne-km)</w:t>
      </w:r>
    </w:p>
    <w:p>
      <w:pPr>
        <w:numPr>
          <w:ilvl w:val="1"/>
          <w:numId w:val="1016"/>
        </w:numPr>
        <w:pStyle w:val="Compact"/>
      </w:pPr>
      <w:r>
        <w:t xml:space="preserve">Emissions = (0.6 / 1000) tonne * 15,000 km * 0.015 kg CO2e/tonne-km = 0.135 kg CO2e</w:t>
      </w:r>
    </w:p>
    <w:p>
      <w:pPr>
        <w:numPr>
          <w:ilvl w:val="0"/>
          <w:numId w:val="1014"/>
        </w:numPr>
        <w:pStyle w:val="Compact"/>
      </w:pPr>
      <w:r>
        <w:rPr>
          <w:bCs/>
          <w:b/>
        </w:rPr>
        <w:t xml:space="preserve">Last-Mile Delivery (Finished Product):</w:t>
      </w:r>
    </w:p>
    <w:p>
      <w:pPr>
        <w:numPr>
          <w:ilvl w:val="1"/>
          <w:numId w:val="1017"/>
        </w:numPr>
        <w:pStyle w:val="Compact"/>
      </w:pPr>
      <w:r>
        <w:t xml:space="preserve">Product Weight = 0.6 kg</w:t>
      </w:r>
    </w:p>
    <w:p>
      <w:pPr>
        <w:numPr>
          <w:ilvl w:val="1"/>
          <w:numId w:val="1017"/>
        </w:numPr>
        <w:pStyle w:val="Compact"/>
      </w:pPr>
      <w:r>
        <w:t xml:space="preserve">Emissions = Product Weight (tonne) * Distance (km) * LCV Road Freight EF (kg CO2e/tonne-km)</w:t>
      </w:r>
    </w:p>
    <w:p>
      <w:pPr>
        <w:numPr>
          <w:ilvl w:val="1"/>
          <w:numId w:val="1017"/>
        </w:numPr>
        <w:pStyle w:val="Compact"/>
      </w:pPr>
      <w:r>
        <w:t xml:space="preserve">Emissions = (0.6 / 1000) tonne * 500 km * 0.15 kg CO2e/tonne-km = 0.045 kg CO2e</w:t>
      </w:r>
    </w:p>
    <w:p>
      <w:pPr>
        <w:numPr>
          <w:ilvl w:val="0"/>
          <w:numId w:val="1014"/>
        </w:numPr>
        <w:pStyle w:val="Compact"/>
      </w:pPr>
      <w:r>
        <w:rPr>
          <w:bCs/>
          <w:b/>
        </w:rPr>
        <w:t xml:space="preserve">Total Transportation = 0.135 + 0.135 + 0.045 = 0.315 kg CO2e</w:t>
      </w:r>
    </w:p>
    <w:p>
      <w:pPr>
        <w:pStyle w:val="FirstParagraph"/>
      </w:pPr>
      <w:r>
        <w:rPr>
          <w:bCs/>
          <w:b/>
        </w:rPr>
        <w:t xml:space="preserve">4. Use Phase (Scope 3, Category 11: Use of Sold Products)</w:t>
      </w:r>
    </w:p>
    <w:p>
      <w:pPr>
        <w:numPr>
          <w:ilvl w:val="0"/>
          <w:numId w:val="1018"/>
        </w:numPr>
        <w:pStyle w:val="Compact"/>
      </w:pPr>
      <w:r>
        <w:t xml:space="preserve">Emissions = Energy Consumption in Use (kWh/year) * Product Lifespan (years) * Europe Electricity EF (kg CO2e/kWh)</w:t>
      </w:r>
    </w:p>
    <w:p>
      <w:pPr>
        <w:numPr>
          <w:ilvl w:val="0"/>
          <w:numId w:val="1018"/>
        </w:numPr>
        <w:pStyle w:val="Compact"/>
      </w:pPr>
      <w:r>
        <w:t xml:space="preserve">Emissions = 5 kWh/year * 3 years * 0.25 kg CO2e/kWh = 3.75 kg CO2e</w:t>
      </w:r>
    </w:p>
    <w:p>
      <w:pPr>
        <w:pStyle w:val="FirstParagraph"/>
      </w:pPr>
      <w:r>
        <w:rPr>
          <w:bCs/>
          <w:b/>
        </w:rPr>
        <w:t xml:space="preserve">5. End-of-Life (Scope 3, Category 12: End-of-Life Treatment of Sold Products)</w:t>
      </w:r>
    </w:p>
    <w:p>
      <w:pPr>
        <w:numPr>
          <w:ilvl w:val="0"/>
          <w:numId w:val="1019"/>
        </w:numPr>
        <w:pStyle w:val="Compact"/>
      </w:pPr>
      <w:r>
        <w:t xml:space="preserve">Total Product Mass (excluding packaging, as packaging is often treated separately) = 0.6 kg (Plastic Casing + Aluminum Frame + PCB + Copper Wire + Battery)</w:t>
      </w:r>
    </w:p>
    <w:p>
      <w:pPr>
        <w:numPr>
          <w:ilvl w:val="0"/>
          <w:numId w:val="1019"/>
        </w:numPr>
        <w:pStyle w:val="Compact"/>
      </w:pPr>
      <w:r>
        <w:t xml:space="preserve">Recycled Portion = 0.6 kg * 60% = 0.36 kg</w:t>
      </w:r>
    </w:p>
    <w:p>
      <w:pPr>
        <w:numPr>
          <w:ilvl w:val="0"/>
          <w:numId w:val="1019"/>
        </w:numPr>
        <w:pStyle w:val="Compact"/>
      </w:pPr>
      <w:r>
        <w:t xml:space="preserve">Non-Recycled Portion (Landfilled/Incinerated) = 0.6 kg * (1 - 60%) = 0.24 kg</w:t>
      </w:r>
    </w:p>
    <w:p>
      <w:pPr>
        <w:numPr>
          <w:ilvl w:val="0"/>
          <w:numId w:val="1019"/>
        </w:numPr>
        <w:pStyle w:val="Compact"/>
      </w:pPr>
      <w:r>
        <w:t xml:space="preserve">Packaging Mass = 0.15 kg</w:t>
      </w:r>
    </w:p>
    <w:p>
      <w:pPr>
        <w:numPr>
          <w:ilvl w:val="0"/>
          <w:numId w:val="1019"/>
        </w:numPr>
        <w:pStyle w:val="Compact"/>
      </w:pPr>
      <w:r>
        <w:t xml:space="preserve">Assume packaging is also 60% recycled, 40% non-recycled.</w:t>
      </w:r>
    </w:p>
    <w:p>
      <w:pPr>
        <w:numPr>
          <w:ilvl w:val="0"/>
          <w:numId w:val="1019"/>
        </w:numPr>
        <w:pStyle w:val="Compact"/>
      </w:pPr>
      <w:r>
        <w:t xml:space="preserve">Recycled Packaging = 0.15 kg * 60% = 0.09 kg</w:t>
      </w:r>
    </w:p>
    <w:p>
      <w:pPr>
        <w:numPr>
          <w:ilvl w:val="0"/>
          <w:numId w:val="1019"/>
        </w:numPr>
        <w:pStyle w:val="Compact"/>
      </w:pPr>
      <w:r>
        <w:t xml:space="preserve">Non-Recycled Packaging = 0.15 kg * 40% = 0.06 kg</w:t>
      </w:r>
    </w:p>
    <w:p>
      <w:pPr>
        <w:numPr>
          <w:ilvl w:val="0"/>
          <w:numId w:val="1019"/>
        </w:numPr>
        <w:pStyle w:val="Compact"/>
      </w:pPr>
      <w:r>
        <w:rPr>
          <w:bCs/>
          <w:b/>
        </w:rPr>
        <w:t xml:space="preserve">Emissions from Non-Recycled Product:</w:t>
      </w:r>
    </w:p>
    <w:p>
      <w:pPr>
        <w:numPr>
          <w:ilvl w:val="1"/>
          <w:numId w:val="1020"/>
        </w:numPr>
        <w:pStyle w:val="Compact"/>
      </w:pPr>
      <w:r>
        <w:t xml:space="preserve">Emissions = Non-Recycled Portion * EoL Landfill/Incineration EF = 0.24 kg * 1.0 kg CO2e/kg = 0.24 kg CO2e</w:t>
      </w:r>
    </w:p>
    <w:p>
      <w:pPr>
        <w:numPr>
          <w:ilvl w:val="1"/>
          <w:numId w:val="1020"/>
        </w:numPr>
        <w:pStyle w:val="Compact"/>
      </w:pPr>
      <w:r>
        <w:t xml:space="preserve">Emissions from Non-Recycled Packaging = 0.06 kg * 1.0 kg CO2e/kg = 0.06 kg CO2e</w:t>
      </w:r>
    </w:p>
    <w:p>
      <w:pPr>
        <w:numPr>
          <w:ilvl w:val="0"/>
          <w:numId w:val="1019"/>
        </w:numPr>
        <w:pStyle w:val="Compact"/>
      </w:pPr>
      <w:r>
        <w:rPr>
          <w:bCs/>
          <w:b/>
        </w:rPr>
        <w:t xml:space="preserve">Avoided Emissions (Recycling Credit):</w:t>
      </w:r>
    </w:p>
    <w:p>
      <w:pPr>
        <w:numPr>
          <w:ilvl w:val="1"/>
          <w:numId w:val="1021"/>
        </w:numPr>
        <w:pStyle w:val="Compact"/>
      </w:pPr>
      <w:r>
        <w:t xml:space="preserve">For recycled product materials, assume an 80% reduction compared to virgin material emissions:</w:t>
      </w:r>
      <w:r>
        <w:t xml:space="preserve"> </w:t>
      </w:r>
      <w:r>
        <w:t xml:space="preserve">(0.2 kg ABS * 3.0 EF + 0.1 kg Al * 10.0 EF + 0.05 kg PCB * 25.0 EF + 0.02 kg Cu * 5.0 EF + 0.08 kg Battery * 15.0 EF) * 60% recycled * 80% credit</w:t>
      </w:r>
      <w:r>
        <w:t xml:space="preserve"> </w:t>
      </w:r>
      <w:r>
        <w:t xml:space="preserve">= (0.6 + 1.0 + 1.25 + 0.1 + 1.2) * 0.6 * 0.8 = 4.15 * 0.6 * 0.8 = 1.992 kg CO2e avoided.</w:t>
      </w:r>
    </w:p>
    <w:p>
      <w:pPr>
        <w:numPr>
          <w:ilvl w:val="1"/>
          <w:numId w:val="1021"/>
        </w:numPr>
        <w:pStyle w:val="Compact"/>
      </w:pPr>
      <w:r>
        <w:t xml:space="preserve">For recycled packaging, assume 80% reduction:</w:t>
      </w:r>
      <w:r>
        <w:t xml:space="preserve"> </w:t>
      </w:r>
      <w:r>
        <w:t xml:space="preserve">(0.15 kg Cardboard * 1.2 EF) * 60% recycled * 80% credit</w:t>
      </w:r>
      <w:r>
        <w:t xml:space="preserve"> </w:t>
      </w:r>
      <w:r>
        <w:t xml:space="preserve">= 0.18 * 0.6 * 0.8 = 0.0864 kg CO2e avoided.</w:t>
      </w:r>
    </w:p>
    <w:p>
      <w:pPr>
        <w:numPr>
          <w:ilvl w:val="1"/>
          <w:numId w:val="1021"/>
        </w:numPr>
        <w:pStyle w:val="Compact"/>
      </w:pPr>
      <w:r>
        <w:t xml:space="preserve">Total Avoided Emissions = 1.992 + 0.0864 = 2.0784 kg CO2e</w:t>
      </w:r>
    </w:p>
    <w:p>
      <w:pPr>
        <w:numPr>
          <w:ilvl w:val="0"/>
          <w:numId w:val="1019"/>
        </w:numPr>
        <w:pStyle w:val="Compact"/>
      </w:pPr>
      <w:r>
        <w:rPr>
          <w:bCs/>
          <w:b/>
        </w:rPr>
        <w:t xml:space="preserve">Net End-of-Life Emissions = (Non-Recycled Product Emissions + Non-Recycled Packaging Emissions) - Total Avoided Emissions</w:t>
      </w:r>
    </w:p>
    <w:p>
      <w:pPr>
        <w:numPr>
          <w:ilvl w:val="0"/>
          <w:numId w:val="1019"/>
        </w:numPr>
        <w:pStyle w:val="Compact"/>
      </w:pPr>
      <w:r>
        <w:t xml:space="preserve">Net End-of-Life Emissions = (0.24 + 0.06) - 2.0784 = 0.30 - 2.0784 = -1.7784 kg CO2e (Negative value indicates a net carbon benefit due to recycling)</w:t>
      </w:r>
    </w:p>
    <w:bookmarkEnd w:id="34"/>
    <w:bookmarkStart w:id="35" w:name="X7a3c91ea1acee132d1fc9adc99704c7a9c199d5"/>
    <w:p>
      <w:pPr>
        <w:pStyle w:val="Heading4"/>
      </w:pPr>
      <w:r>
        <w:t xml:space="preserve">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4.33</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4.55</w:t>
            </w:r>
          </w:p>
        </w:tc>
      </w:tr>
      <w:tr>
        <w:tc>
          <w:tcPr/>
          <w:p>
            <w:pPr>
              <w:pStyle w:val="Compact"/>
              <w:jc w:val="left"/>
            </w:pPr>
            <w:r>
              <w:t xml:space="preserve">Manufacturing (Direct)</w:t>
            </w:r>
          </w:p>
        </w:tc>
        <w:tc>
          <w:tcPr/>
          <w:p>
            <w:pPr>
              <w:pStyle w:val="Compact"/>
              <w:jc w:val="left"/>
            </w:pPr>
            <w:r>
              <w:t xml:space="preserve">Scope 1</w:t>
            </w:r>
          </w:p>
        </w:tc>
        <w:tc>
          <w:tcPr/>
          <w:p>
            <w:pPr>
              <w:pStyle w:val="Compact"/>
              <w:jc w:val="left"/>
            </w:pPr>
            <w:r>
              <w:t xml:space="preserve">0.00 (Assumed negligible)</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0.135</w:t>
            </w:r>
          </w:p>
        </w:tc>
      </w:tr>
      <w:tr>
        <w:tc>
          <w:tcPr/>
          <w:p>
            <w:pPr>
              <w:pStyle w:val="Compact"/>
              <w:jc w:val="left"/>
            </w:pPr>
            <w:r>
              <w:t xml:space="preserve">Downstream Transportation (Main)</w:t>
            </w:r>
          </w:p>
        </w:tc>
        <w:tc>
          <w:tcPr/>
          <w:p>
            <w:pPr>
              <w:pStyle w:val="Compact"/>
              <w:jc w:val="left"/>
            </w:pPr>
            <w:r>
              <w:t xml:space="preserve">Scope 3 (Category 9)</w:t>
            </w:r>
          </w:p>
        </w:tc>
        <w:tc>
          <w:tcPr/>
          <w:p>
            <w:pPr>
              <w:pStyle w:val="Compact"/>
              <w:jc w:val="left"/>
            </w:pPr>
            <w:r>
              <w:t xml:space="preserve">0.135</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0.045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3.75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-1.78</w:t>
            </w:r>
          </w:p>
        </w:tc>
      </w:tr>
      <w:tr>
        <w:tc>
          <w:tcPr/>
          <w:p>
            <w:pPr>
              <w:pStyle w:val="Compact"/>
              <w:jc w:val="left"/>
            </w:pPr>
            <w:r>
              <w:t xml:space="preserve">TOTAL PRODUCT CARBON FOOTPRINT</w:t>
            </w:r>
          </w:p>
        </w:tc>
        <w:tc>
          <w:tcPr/>
          <w:p>
            <w:pPr>
              <w:pStyle w:val="Compact"/>
            </w:pPr>
          </w:p>
        </w:tc>
        <w:tc>
          <w:tcPr/>
          <w:p>
            <w:pPr>
              <w:pStyle w:val="Compact"/>
              <w:jc w:val="left"/>
            </w:pPr>
            <w:r>
              <w:t xml:space="preserve">7.16</w:t>
            </w:r>
          </w:p>
        </w:tc>
      </w:tr>
    </w:tbl>
    <w:p>
      <w:pPr>
        <w:pStyle w:val="BodyText"/>
      </w:pPr>
      <w:r>
        <w:rPr>
          <w:iCs/>
          <w:i/>
        </w:rPr>
        <w:t xml:space="preserve">Note: Minor rounding differences may occur in totals.</w:t>
      </w:r>
    </w:p>
    <w:bookmarkEnd w:id="35"/>
    <w:bookmarkEnd w:id="36"/>
    <w:bookmarkStart w:id="39" w:name="step-5-review-report"/>
    <w:p>
      <w:pPr>
        <w:pStyle w:val="Heading3"/>
      </w:pPr>
      <w:r>
        <w:t xml:space="preserve">2.5. Step 5: Review &amp; Report</w:t>
      </w:r>
    </w:p>
    <w:bookmarkStart w:id="37" w:name="hotspots"/>
    <w:p>
      <w:pPr>
        <w:pStyle w:val="Heading4"/>
      </w:pPr>
      <w:r>
        <w:t xml:space="preserve">Hotspots:</w:t>
      </w:r>
    </w:p>
    <w:p>
      <w:pPr>
        <w:pStyle w:val="FirstParagraph"/>
      </w:pPr>
      <w:r>
        <w:t xml:space="preserve">Based on the calculations, the primary emission hotspots for</w:t>
      </w:r>
      <w:r>
        <w:t xml:space="preserve"> </w:t>
      </w:r>
      <w:r>
        <w:rPr>
          <w:bCs/>
          <w:b/>
        </w:rPr>
        <w:t xml:space="preserve">ksjyhhwmpu</w:t>
      </w:r>
      <w:r>
        <w:t xml:space="preserve"> </w:t>
      </w:r>
      <w:r>
        <w:t xml:space="preserve">are:</w:t>
      </w:r>
    </w:p>
    <w:p>
      <w:pPr>
        <w:numPr>
          <w:ilvl w:val="0"/>
          <w:numId w:val="1022"/>
        </w:numPr>
        <w:pStyle w:val="Compact"/>
      </w:pPr>
      <w:r>
        <w:rPr>
          <w:bCs/>
          <w:b/>
        </w:rPr>
        <w:t xml:space="preserve">Manufacturing (Scope 2 Electricity):</w:t>
      </w:r>
      <w:r>
        <w:t xml:space="preserve"> </w:t>
      </w:r>
      <w:r>
        <w:t xml:space="preserve">4.55 kg CO2e, representing 63.5% of the positive emissions. This highlights the importance of transitioning to 100% renewable energy in manufacturing operations in China.</w:t>
      </w:r>
    </w:p>
    <w:p>
      <w:pPr>
        <w:numPr>
          <w:ilvl w:val="0"/>
          <w:numId w:val="1022"/>
        </w:numPr>
        <w:pStyle w:val="Compact"/>
      </w:pPr>
      <w:r>
        <w:rPr>
          <w:bCs/>
          <w:b/>
        </w:rPr>
        <w:t xml:space="preserve">Materials Acquisition &amp; Pre-processing (Scope 3):</w:t>
      </w:r>
      <w:r>
        <w:t xml:space="preserve"> </w:t>
      </w:r>
      <w:r>
        <w:t xml:space="preserve">4.33 kg CO2e, representing 60.5% of the positive emissions. High-impact materials like PCB, Aluminum, and Li-ion battery contribute significantly. Optimizing material selection, increasing recycled content, and working with suppliers for low-carbon alternatives are critical.</w:t>
      </w:r>
    </w:p>
    <w:p>
      <w:pPr>
        <w:numPr>
          <w:ilvl w:val="0"/>
          <w:numId w:val="1022"/>
        </w:numPr>
        <w:pStyle w:val="Compact"/>
      </w:pPr>
      <w:r>
        <w:rPr>
          <w:bCs/>
          <w:b/>
        </w:rPr>
        <w:t xml:space="preserve">Use Phase (Scope 3):</w:t>
      </w:r>
      <w:r>
        <w:t xml:space="preserve"> </w:t>
      </w:r>
      <w:r>
        <w:t xml:space="preserve">3.75 kg CO2e, representing 52.4% of the positive emissions. This indicates that the product\'s energy consumption during its lifespan is a major factor. Improving energy efficiency of the product is crucial.</w:t>
      </w:r>
    </w:p>
    <w:p>
      <w:pPr>
        <w:numPr>
          <w:ilvl w:val="0"/>
          <w:numId w:val="1022"/>
        </w:numPr>
        <w:pStyle w:val="Compact"/>
      </w:pPr>
      <w:r>
        <w:t xml:space="preserve">The End-of-Life phase demonstrates a net benefit due to recycling, reinforcing the value of circular economy initiatives.</w:t>
      </w:r>
    </w:p>
    <w:bookmarkEnd w:id="37"/>
    <w:bookmarkStart w:id="38" w:name="reliability"/>
    <w:p>
      <w:pPr>
        <w:pStyle w:val="Heading4"/>
      </w:pPr>
      <w:r>
        <w:t xml:space="preserve">Reliability:</w:t>
      </w:r>
    </w:p>
    <w:p>
      <w:pPr>
        <w:pStyle w:val="FirstParagraph"/>
      </w:pPr>
      <w:r>
        <w:t xml:space="preserve">The reliability of this PCF is considered moderate to high, based on the following:</w:t>
      </w:r>
    </w:p>
    <w:p>
      <w:pPr>
        <w:numPr>
          <w:ilvl w:val="0"/>
          <w:numId w:val="1023"/>
        </w:numPr>
        <w:pStyle w:val="Compact"/>
      </w:pPr>
      <w:r>
        <w:t xml:space="preserve">Adherence to GHG Protocol standards for scope definition and emission categorization.</w:t>
      </w:r>
    </w:p>
    <w:p>
      <w:pPr>
        <w:numPr>
          <w:ilvl w:val="0"/>
          <w:numId w:val="1023"/>
        </w:numPr>
        <w:pStyle w:val="Compact"/>
      </w:pPr>
      <w:r>
        <w:t xml:space="preserve">Use of a detailed Bill of Materials for material impact assessment.</w:t>
      </w:r>
    </w:p>
    <w:p>
      <w:pPr>
        <w:numPr>
          <w:ilvl w:val="0"/>
          <w:numId w:val="1023"/>
        </w:numPr>
        <w:pStyle w:val="Compact"/>
      </w:pPr>
      <w:r>
        <w:t xml:space="preserve">Incorporation of specific data for energy usage, transport, use phase, and end-of-life scenarios.</w:t>
      </w:r>
    </w:p>
    <w:p>
      <w:pPr>
        <w:numPr>
          <w:ilvl w:val="0"/>
          <w:numId w:val="1023"/>
        </w:numPr>
        <w:pStyle w:val="Compact"/>
      </w:pPr>
      <w:r>
        <w:t xml:space="preserve">Reliance on established industry-standard emission factors (e.g., from BEIS/DEFRA, IEA, EPA) for secondary data, though specific Ecoinvent data was not directly accessed for this illustrative report.</w:t>
      </w:r>
    </w:p>
    <w:p>
      <w:pPr>
        <w:pStyle w:val="FirstParagraph"/>
      </w:pPr>
      <w:r>
        <w:t xml:space="preserve">Improvements in reliability could be achieved through:</w:t>
      </w:r>
    </w:p>
    <w:p>
      <w:pPr>
        <w:numPr>
          <w:ilvl w:val="0"/>
          <w:numId w:val="1024"/>
        </w:numPr>
        <w:pStyle w:val="Compact"/>
      </w:pPr>
      <w:r>
        <w:t xml:space="preserve">Collecting more primary data for all supply chain components, especially for tier 2 and 3 suppliers.</w:t>
      </w:r>
    </w:p>
    <w:p>
      <w:pPr>
        <w:numPr>
          <w:ilvl w:val="0"/>
          <w:numId w:val="1024"/>
        </w:numPr>
        <w:pStyle w:val="Compact"/>
      </w:pPr>
      <w:r>
        <w:t xml:space="preserve">Utilizing specific regional or supplier-specific emission factors from comprehensive LCA databases like Ecoinvent.</w:t>
      </w:r>
    </w:p>
    <w:p>
      <w:pPr>
        <w:numPr>
          <w:ilvl w:val="0"/>
          <w:numId w:val="1024"/>
        </w:numPr>
        <w:pStyle w:val="Compact"/>
      </w:pPr>
      <w:r>
        <w:t xml:space="preserve">Implementing real-time monitoring for energy consumption in manufacturing and the use phase.</w:t>
      </w:r>
    </w:p>
    <w:p>
      <w:pPr>
        <w:numPr>
          <w:ilvl w:val="0"/>
          <w:numId w:val="1024"/>
        </w:numPr>
        <w:pStyle w:val="Compact"/>
      </w:pPr>
      <w:r>
        <w:t xml:space="preserve">Detailed analysis of land-use change and land management for raw materials, as per the LSR Standard.</w:t>
      </w:r>
    </w:p>
    <w:p>
      <w:pPr>
        <w:numPr>
          <w:ilvl w:val="0"/>
          <w:numId w:val="1024"/>
        </w:numPr>
        <w:pStyle w:val="Compact"/>
      </w:pPr>
      <w:r>
        <w:t xml:space="preserve">Third-party verification of data and calculations.</w:t>
      </w:r>
    </w:p>
    <w:bookmarkEnd w:id="38"/>
    <w:bookmarkEnd w:id="39"/>
    <w:bookmarkEnd w:id="40"/>
    <w:p>
      <w:r>
        <w:pict>
          <v:rect style="width:0;height:1.5pt" o:hralign="center" o:hrstd="t" o:hr="t"/>
        </w:pict>
      </w:r>
    </w:p>
    <w:bookmarkStart w:id="42" w:name="conclusion-and-recommendations"/>
    <w:p>
      <w:pPr>
        <w:pStyle w:val="Heading2"/>
      </w:pPr>
      <w:r>
        <w:t xml:space="preserve">3. Conclusion and Recommendations</w:t>
      </w:r>
    </w:p>
    <w:p>
      <w:pPr>
        <w:pStyle w:val="FirstParagraph"/>
      </w:pPr>
      <w:r>
        <w:t xml:space="preserve">The Product Carbon Footprint for</w:t>
      </w:r>
      <w:r>
        <w:t xml:space="preserve"> </w:t>
      </w:r>
      <w:r>
        <w:rPr>
          <w:bCs/>
          <w:b/>
        </w:rPr>
        <w:t xml:space="preserve">ksjyhhwmpu</w:t>
      </w:r>
      <w:r>
        <w:t xml:space="preserve"> </w:t>
      </w:r>
      <w:r>
        <w:t xml:space="preserve">by</w:t>
      </w:r>
      <w:r>
        <w:t xml:space="preserve"> </w:t>
      </w:r>
      <w:r>
        <w:rPr>
          <w:bCs/>
          <w:b/>
        </w:rPr>
        <w:t xml:space="preserve">etmidqxylq</w:t>
      </w:r>
      <w:r>
        <w:t xml:space="preserve"> </w:t>
      </w:r>
      <w:r>
        <w:t xml:space="preserve">is calculated to be</w:t>
      </w:r>
      <w:r>
        <w:t xml:space="preserve"> </w:t>
      </w:r>
      <w:r>
        <w:rPr>
          <w:bCs/>
          <w:b/>
        </w:rPr>
        <w:t xml:space="preserve">7.16 kg CO2e per unit</w:t>
      </w:r>
      <w:r>
        <w:t xml:space="preserve">, considering the defined system boundary and parameters. The analysis highlights significant opportunities for emissions reduction across the product\'s lifecycle, particularly within manufacturing energy consumption, material sourcing, and the product\'s use phase.</w:t>
      </w:r>
    </w:p>
    <w:bookmarkStart w:id="41" w:name="recommendations"/>
    <w:p>
      <w:pPr>
        <w:pStyle w:val="Heading3"/>
      </w:pPr>
      <w:r>
        <w:t xml:space="preserve">Recommendations:</w:t>
      </w:r>
    </w:p>
    <w:p>
      <w:pPr>
        <w:numPr>
          <w:ilvl w:val="0"/>
          <w:numId w:val="1025"/>
        </w:numPr>
        <w:pStyle w:val="Compact"/>
      </w:pPr>
      <w:r>
        <w:rPr>
          <w:bCs/>
          <w:b/>
        </w:rPr>
        <w:t xml:space="preserve">Decarbonize Manufacturing Operations:</w:t>
      </w:r>
      <w:r>
        <w:t xml:space="preserve"> </w:t>
      </w:r>
      <w:r>
        <w:t xml:space="preserve">Accelerate the transition to 100% renewable energy for the production facility in China. This is the single largest hotspot for direct operational control.</w:t>
      </w:r>
    </w:p>
    <w:p>
      <w:pPr>
        <w:numPr>
          <w:ilvl w:val="0"/>
          <w:numId w:val="1025"/>
        </w:numPr>
        <w:pStyle w:val="Compact"/>
      </w:pPr>
      <w:r>
        <w:rPr>
          <w:bCs/>
          <w:b/>
        </w:rPr>
        <w:t xml:space="preserve">Sustainable Material Sourcing:</w:t>
      </w:r>
      <w:r>
        <w:t xml:space="preserve"> </w:t>
      </w:r>
      <w:r>
        <w:t xml:space="preserve">Collaborate with suppliers to identify and procure lower-carbon alternatives for high-impact components (e.g., PCB, Aluminum, Li-ion battery). Prioritize materials with higher recycled content and lower inherent emission factors.</w:t>
      </w:r>
    </w:p>
    <w:p>
      <w:pPr>
        <w:numPr>
          <w:ilvl w:val="0"/>
          <w:numId w:val="1025"/>
        </w:numPr>
        <w:pStyle w:val="Compact"/>
      </w:pPr>
      <w:r>
        <w:rPr>
          <w:bCs/>
          <w:b/>
        </w:rPr>
        <w:t xml:space="preserve">Enhance Product Energy Efficiency:</w:t>
      </w:r>
      <w:r>
        <w:t xml:space="preserve"> </w:t>
      </w:r>
      <w:r>
        <w:t xml:space="preserve">Redesign or optimize</w:t>
      </w:r>
      <w:r>
        <w:t xml:space="preserve"> </w:t>
      </w:r>
      <w:r>
        <w:rPr>
          <w:bCs/>
          <w:b/>
        </w:rPr>
        <w:t xml:space="preserve">ksjyhhwmpu</w:t>
      </w:r>
      <w:r>
        <w:t xml:space="preserve"> </w:t>
      </w:r>
      <w:r>
        <w:t xml:space="preserve">to minimize energy consumption during its use phase, as this contributes substantially to its overall footprint.</w:t>
      </w:r>
    </w:p>
    <w:p>
      <w:pPr>
        <w:numPr>
          <w:ilvl w:val="0"/>
          <w:numId w:val="1025"/>
        </w:numPr>
        <w:pStyle w:val="Compact"/>
      </w:pPr>
      <w:r>
        <w:rPr>
          <w:bCs/>
          <w:b/>
        </w:rPr>
        <w:t xml:space="preserve">Strengthen Circular Economy Initiatives:</w:t>
      </w:r>
      <w:r>
        <w:t xml:space="preserve"> </w:t>
      </w:r>
      <w:r>
        <w:t xml:space="preserve">Continue and expand take-back and recycling programs (</w:t>
      </w:r>
      <w:r>
        <w:rPr>
          <w:bCs/>
          <w:b/>
        </w:rPr>
        <w:t xml:space="preserve">vvfqdyhjlp</w:t>
      </w:r>
      <w:r>
        <w:t xml:space="preserve">) to maximize material recovery and minimize landfill waste, further leveraging the avoided emissions benefits. Explore opportunities for repairability and modular design to extend product lifespan.</w:t>
      </w:r>
    </w:p>
    <w:p>
      <w:pPr>
        <w:numPr>
          <w:ilvl w:val="0"/>
          <w:numId w:val="1025"/>
        </w:numPr>
        <w:pStyle w:val="Compact"/>
      </w:pPr>
      <w:r>
        <w:rPr>
          <w:bCs/>
          <w:b/>
        </w:rPr>
        <w:t xml:space="preserve">Optimize Logistics:</w:t>
      </w:r>
      <w:r>
        <w:t xml:space="preserve"> </w:t>
      </w:r>
      <w:r>
        <w:t xml:space="preserve">Evaluate opportunities to optimize transportation routes, modes, and load factors to reduce emissions from both upstream and downstream logistics.</w:t>
      </w:r>
    </w:p>
    <w:p>
      <w:pPr>
        <w:numPr>
          <w:ilvl w:val="0"/>
          <w:numId w:val="1025"/>
        </w:numPr>
        <w:pStyle w:val="Compact"/>
      </w:pPr>
      <w:r>
        <w:rPr>
          <w:bCs/>
          <w:b/>
        </w:rPr>
        <w:t xml:space="preserve">Deep Dive into Scope 3 Data:</w:t>
      </w:r>
      <w:r>
        <w:t xml:space="preserve"> </w:t>
      </w:r>
      <w:r>
        <w:t xml:space="preserve">Conduct more granular data collection across all Scope 3 categories, especially focusing on primary data from key suppliers and aligning with the 2026 GHG Protocol requirements for comprehensive value chain analysis and LSR implications for relevant supply chain items.</w:t>
      </w:r>
    </w:p>
    <w:bookmarkEnd w:id="41"/>
    <w:bookmarkEnd w:id="42"/>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ksjyhhwmpu</dc:title>
  <dc:creator/>
  <dc:description>Detailed Product Carbon Footprint (PCF) analysis for ksjyhhwmpu by etmidqxylq, following GHG Protocol standards.</dc:description>
  <dc:language>en</dc:language>
  <cp:keywords/>
  <dcterms:created xsi:type="dcterms:W3CDTF">2026-07-15T03:27:58Z</dcterms:created>
  <dcterms:modified xsi:type="dcterms:W3CDTF">2026-07-15T03:27:58Z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