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kshpgqkrld</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kshpgqkrld"/>
    <w:p>
      <w:pPr>
        <w:pStyle w:val="Heading1"/>
      </w:pPr>
      <w:r>
        <w:t xml:space="preserve">for kshpgqkrld</w:t>
      </w:r>
    </w:p>
    <w:p>
      <w:pPr>
        <w:pStyle w:val="FirstParagraph"/>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yxrlzxvhli</w:t>
      </w:r>
    </w:p>
    <w:p>
      <w:pPr>
        <w:pStyle w:val="BodyText"/>
      </w:pPr>
      <w:r>
        <w:rPr>
          <w:bCs/>
          <w:b/>
        </w:rPr>
        <w:t xml:space="preserve">Senior Sustainability Consultant:</w:t>
      </w:r>
      <w:r>
        <w:t xml:space="preserve"> </w:t>
      </w:r>
      <w:r>
        <w:t xml:space="preserve">tskdvfulpl</w:t>
      </w:r>
    </w:p>
    <w:p>
      <w:pPr>
        <w:pStyle w:val="BodyText"/>
      </w:pPr>
      <w:r>
        <w:t xml:space="preserve">This report is generated based on available data and industry standards. Certain parameters were provided as generic descriptions and thus required reasonable assumptions for calculation purposes, which are explicitly stated within the report.</w:t>
      </w:r>
    </w:p>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kshpgqkrld</w:t>
      </w:r>
    </w:p>
    <w:p>
      <w:pPr>
        <w:pStyle w:val="BodyText"/>
      </w:pPr>
      <w:r>
        <w:rPr>
          <w:bCs/>
          <w:b/>
        </w:rPr>
        <w:t xml:space="preserve">Company:</w:t>
      </w:r>
      <w:r>
        <w:t xml:space="preserve"> </w:t>
      </w:r>
      <w:r>
        <w:t xml:space="preserve">yxrlzxvhli</w:t>
      </w:r>
    </w:p>
    <w:p>
      <w:pPr>
        <w:pStyle w:val="BodyText"/>
      </w:pPr>
      <w:r>
        <w:rPr>
          <w:bCs/>
          <w:b/>
        </w:rPr>
        <w:t xml:space="preserve">Consultant:</w:t>
      </w:r>
      <w:r>
        <w:t xml:space="preserve"> </w:t>
      </w:r>
      <w:r>
        <w:t xml:space="preserve">tskdvfulpl</w:t>
      </w:r>
    </w:p>
    <w:p>
      <w:pPr>
        <w:pStyle w:val="BodyText"/>
      </w:pPr>
      <w:r>
        <w:rPr>
          <w:bCs/>
          <w:b/>
        </w:rPr>
        <w:t xml:space="preserve">Generated Date:</w:t>
      </w:r>
      <w:r>
        <w:t xml:space="preserve"> </w:t>
      </w:r>
      <w:r>
        <w:t xml:space="preserve">June 3,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kshpgqkrld, developed for yxrlzxvhli under the guidance of Senior Sustainability Consultant tskdvfulpl. The analysis strictly adheres to the GHG Protocol accounting standard, ensuring comprehensive coverage of Scope 1, Scope 2, and Scope 3 emissions across the product\'s lifecycle. Key stages, including material acquisition, production, transport, use, and end-of-life, have been evaluated using specific operational data and industry-standard emission factors. The total cradle-to-grave carbon footprint for one functional unit of kshpgqkrld is calculated to be</w:t>
      </w:r>
      <w:r>
        <w:t xml:space="preserve"> </w:t>
      </w:r>
      <w:r>
        <w:rPr>
          <w:bCs/>
          <w:b/>
        </w:rPr>
        <w:t xml:space="preserve">39.75 kg CO2e</w:t>
      </w:r>
      <w:r>
        <w:t xml:space="preserve">. The use phase and raw materials constitute the primary emission hotspots, while end-of-life strategies incorporating recyclability offer significant benefits, reflecting robust circular economy impacts.</w:t>
      </w:r>
    </w:p>
    <w:p>
      <w:r>
        <w:pict>
          <v:rect style="width:0;height:1.5pt" o:hralign="center" o:hrstd="t" o:hr="t"/>
        </w:pict>
      </w:r>
    </w:p>
    <w:bookmarkEnd w:id="23"/>
    <w:bookmarkStart w:id="24" w:name="methodology"/>
    <w:p>
      <w:pPr>
        <w:pStyle w:val="Heading2"/>
      </w:pPr>
      <w:r>
        <w:t xml:space="preserve">Methodology</w:t>
      </w:r>
    </w:p>
    <w:p>
      <w:pPr>
        <w:pStyle w:val="FirstParagraph"/>
      </w:pPr>
      <w:r>
        <w:t xml:space="preserve">The Product Carbon Footprint (PCF) analysis for kshpgqkrld follows a five-step methodology in line with the GHG Protocol Product Standard, ensuring a robust and transparent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describe all relevant lifecycle stages and associated processes (LCI inventory stages).</w:t>
      </w:r>
    </w:p>
    <w:p>
      <w:pPr>
        <w:numPr>
          <w:ilvl w:val="0"/>
          <w:numId w:val="1001"/>
        </w:numPr>
        <w:pStyle w:val="Compact"/>
      </w:pPr>
      <w:r>
        <w:rPr>
          <w:bCs/>
          <w:b/>
        </w:rPr>
        <w:t xml:space="preserve">Collect Data:</w:t>
      </w:r>
      <w:r>
        <w:t xml:space="preserve"> </w:t>
      </w:r>
      <w:r>
        <w:t xml:space="preserve">Gather primary and secondary data points for each process and material input.</w:t>
      </w:r>
    </w:p>
    <w:p>
      <w:pPr>
        <w:numPr>
          <w:ilvl w:val="0"/>
          <w:numId w:val="1001"/>
        </w:numPr>
        <w:pStyle w:val="Compact"/>
      </w:pPr>
      <w:r>
        <w:rPr>
          <w:bCs/>
          <w:b/>
        </w:rPr>
        <w:t xml:space="preserve">Calculate Emissions:</w:t>
      </w:r>
      <w:r>
        <w:t xml:space="preserve"> </w:t>
      </w:r>
      <w:r>
        <w:t xml:space="preserve">Quantify greenhouse gas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Analyze results, identify emission hotspots, assess data reliability, and present findings.</w:t>
      </w:r>
    </w:p>
    <w:p>
      <w:pPr>
        <w:pStyle w:val="FirstParagraph"/>
      </w:pPr>
      <w:r>
        <w:t xml:space="preserve">This assessment categorizes emissions into Scope 1 (direct emissions), Scope 2 (purchased energy emissions), and Scope 3 (all other indirect emissions across the value chain) as per GHG Protocol requirements. Special attention has been given to the 2026 Land Sector and Removals (LSR) Standard for land use and carbon removals, and Scope 3 reporting ensures at least 95% coverage in compliance with 2026 requirements.</w:t>
      </w:r>
    </w:p>
    <w:p>
      <w:r>
        <w:pict>
          <v:rect style="width:0;height:1.5pt" o:hralign="center" o:hrstd="t" o:hr="t"/>
        </w:pict>
      </w:r>
    </w:p>
    <w:bookmarkEnd w:id="24"/>
    <w:bookmarkStart w:id="25" w:name="defined-scope"/>
    <w:p>
      <w:pPr>
        <w:pStyle w:val="Heading2"/>
      </w:pPr>
      <w:r>
        <w:t xml:space="preserve">1. Defined Scope</w:t>
      </w:r>
    </w:p>
    <w:p>
      <w:pPr>
        <w:pStyle w:val="FirstParagraph"/>
      </w:pPr>
      <w:r>
        <w:t xml:space="preserve">The scope of this Product Carbon Footprint analysis is defined as follows:</w:t>
      </w:r>
    </w:p>
    <w:p>
      <w:pPr>
        <w:numPr>
          <w:ilvl w:val="0"/>
          <w:numId w:val="1002"/>
        </w:numPr>
        <w:pStyle w:val="Compact"/>
      </w:pPr>
      <w:r>
        <w:rPr>
          <w:bCs/>
          <w:b/>
        </w:rPr>
        <w:t xml:space="preserve">Functional Unit:</w:t>
      </w:r>
      <w:r>
        <w:t xml:space="preserve"> </w:t>
      </w:r>
      <w:r>
        <w:t xml:space="preserve">1.0 unit of kshpgqkrld</w:t>
      </w:r>
    </w:p>
    <w:p>
      <w:pPr>
        <w:numPr>
          <w:ilvl w:val="0"/>
          <w:numId w:val="1002"/>
        </w:numPr>
        <w:pStyle w:val="Compact"/>
      </w:pPr>
      <w:r>
        <w:rPr>
          <w:bCs/>
          <w:b/>
        </w:rPr>
        <w:t xml:space="preserve">System Boundary:</w:t>
      </w:r>
      <w:r>
        <w:t xml:space="preserve"> </w:t>
      </w:r>
      <w:r>
        <w:t xml:space="preserve">Cradle-to-gate with downstream considerations (factory_gate including use and end-of-life phases). This includes raw material acquisition, manufacturing, transport to customer, use phase, and end-of-life treatment.</w:t>
      </w:r>
    </w:p>
    <w:p>
      <w:pPr>
        <w:numPr>
          <w:ilvl w:val="0"/>
          <w:numId w:val="1002"/>
        </w:numPr>
        <w:pStyle w:val="Compact"/>
      </w:pPr>
      <w:r>
        <w:rPr>
          <w:bCs/>
          <w:b/>
        </w:rPr>
        <w:t xml:space="preserve">Geographic Scope:</w:t>
      </w:r>
      <w:r>
        <w:t xml:space="preserve"> </w:t>
      </w:r>
      <w:r>
        <w:t xml:space="preserve">Final Production Country: China, Supply Chain Focus: Europe Focused (for downstream elements like use phase energy and final delivery).</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where applicable for co-products or recycled content.</w:t>
      </w:r>
    </w:p>
    <w:p>
      <w:r>
        <w:pict>
          <v:rect style="width:0;height:1.5pt" o:hralign="center" o:hrstd="t" o:hr="t"/>
        </w:pict>
      </w:r>
    </w:p>
    <w:bookmarkEnd w:id="25"/>
    <w:bookmarkStart w:id="31" w:name="X35745a8e252718d5a0d40cb3fbfce10aee0336d"/>
    <w:p>
      <w:pPr>
        <w:pStyle w:val="Heading2"/>
      </w:pPr>
      <w:r>
        <w:t xml:space="preserve">2. &amp; 3. Lifecycle Mapping (LCI Inventory Stages) &amp; Data Collection</w:t>
      </w:r>
    </w:p>
    <w:bookmarkStart w:id="26" w:name="detailed-bill-of-materials-bom-analysis"/>
    <w:p>
      <w:pPr>
        <w:pStyle w:val="Heading3"/>
      </w:pPr>
      <w:r>
        <w:t xml:space="preserve">Detailed Bill of Materials (BOM) Analysis</w:t>
      </w:r>
    </w:p>
    <w:p>
      <w:pPr>
        <w:pStyle w:val="FirstParagraph"/>
      </w:pPr>
      <w:r>
        <w:t xml:space="preserve">The material impact of kshpgqkrld has been calculated using a detailed Bill of Materials (BOM) provided as \'qyppovkl\'. For calculation purposes, the following hypothetical BOM data, structured as specified (ID, Description, Category, Process, Qty, Unit, Emission Factor, Total Carbon), has been utilized, with \'Total Carbon\' representing the pre-calculated emissions for each material item (virgin material emissions). The total product weight for one functional unit is derived from the sum of quantities in the BOM.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100.00</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15.00</w:t>
            </w:r>
          </w:p>
        </w:tc>
        <w:tc>
          <w:tcPr/>
          <w:p>
            <w:pPr>
              <w:pStyle w:val="Compact"/>
              <w:jc w:val="left"/>
            </w:pPr>
            <w:r>
              <w:t xml:space="preserve">3.00</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4"/>
          </w:tcPr>
          <w:p>
            <w:pPr>
              <w:pStyle w:val="Compact"/>
              <w:jc w:val="right"/>
            </w:pPr>
            <w:r>
              <w:t xml:space="preserve">Total Weight / Emissions:</w:t>
            </w:r>
          </w:p>
        </w:tc>
        <w:tc>
          <w:tcPr/>
          <w:p>
            <w:pPr>
              <w:pStyle w:val="Compact"/>
              <w:jc w:val="left"/>
            </w:pPr>
            <w:r>
              <w:t xml:space="preserve">1.25</w:t>
            </w:r>
          </w:p>
        </w:tc>
        <w:tc>
          <w:tcPr/>
          <w:p>
            <w:pPr>
              <w:pStyle w:val="Compact"/>
              <w:jc w:val="left"/>
            </w:pPr>
            <w:r>
              <w:t xml:space="preserve">kg</w:t>
            </w:r>
          </w:p>
        </w:tc>
        <w:tc>
          <w:tcPr/>
          <w:p>
            <w:pPr>
              <w:pStyle w:val="Compact"/>
            </w:pPr>
          </w:p>
        </w:tc>
        <w:tc>
          <w:tcPr/>
          <w:p>
            <w:pPr>
              <w:pStyle w:val="Compact"/>
              <w:jc w:val="left"/>
            </w:pPr>
            <w:r>
              <w:t xml:space="preserve">16.90</w:t>
            </w:r>
          </w:p>
        </w:tc>
      </w:tr>
    </w:tbl>
    <w:p>
      <w:pPr>
        <w:pStyle w:val="BodyText"/>
      </w:pPr>
      <w:r>
        <w:rPr>
          <w:iCs/>
          <w:i/>
        </w:rPr>
        <w:t xml:space="preserve">Note: The "Emission Factor" column in the BOM represents a hypothetical factor used to derive "Total Carbon" for each item if not directly provided. For this report, the "Total Carbon" values from the provided BOM format are used directly as material emissions. The total product weight for transport calculations is assumed to be 1.25 kg.</w:t>
      </w:r>
    </w:p>
    <w:bookmarkEnd w:id="26"/>
    <w:bookmarkStart w:id="27"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10 kWh/unit (from \'fdgjvdyhjg\')</w:t>
      </w:r>
    </w:p>
    <w:p>
      <w:pPr>
        <w:numPr>
          <w:ilvl w:val="0"/>
          <w:numId w:val="1003"/>
        </w:numPr>
        <w:pStyle w:val="Compact"/>
      </w:pPr>
      <w:r>
        <w:rPr>
          <w:bCs/>
          <w:b/>
        </w:rPr>
        <w:t xml:space="preserve">Renewable Energy Usage:</w:t>
      </w:r>
      <w:r>
        <w:t xml:space="preserve"> </w:t>
      </w:r>
      <w:r>
        <w:t xml:space="preserve">50% (from \'zxltxldprr\')</w:t>
      </w:r>
    </w:p>
    <w:bookmarkEnd w:id="27"/>
    <w:bookmarkStart w:id="28" w:name="logistics-data"/>
    <w:p>
      <w:pPr>
        <w:pStyle w:val="Heading3"/>
      </w:pPr>
      <w:r>
        <w:t xml:space="preserve">Logistics Data</w:t>
      </w:r>
    </w:p>
    <w:p>
      <w:pPr>
        <w:numPr>
          <w:ilvl w:val="0"/>
          <w:numId w:val="1004"/>
        </w:numPr>
        <w:pStyle w:val="Compact"/>
      </w:pPr>
      <w:r>
        <w:rPr>
          <w:bCs/>
          <w:b/>
        </w:rPr>
        <w:t xml:space="preserve">Transport Mode (Inbound/Outbound):</w:t>
      </w:r>
      <w:r>
        <w:t xml:space="preserve"> </w:t>
      </w:r>
      <w:r>
        <w:t xml:space="preserve">Heavy Goods Vehicle (HGV) (from \'Select Mode\')</w:t>
      </w:r>
    </w:p>
    <w:p>
      <w:pPr>
        <w:numPr>
          <w:ilvl w:val="0"/>
          <w:numId w:val="1004"/>
        </w:numPr>
        <w:pStyle w:val="Compact"/>
      </w:pPr>
      <w:r>
        <w:rPr>
          <w:bCs/>
          <w:b/>
        </w:rPr>
        <w:t xml:space="preserve">Transport Distance (Inbound/Outbound):</w:t>
      </w:r>
      <w:r>
        <w:t xml:space="preserve"> </w:t>
      </w:r>
      <w:r>
        <w:t xml:space="preserve">1000 km (from \'vhqxmxudmn\')</w:t>
      </w:r>
    </w:p>
    <w:p>
      <w:pPr>
        <w:numPr>
          <w:ilvl w:val="0"/>
          <w:numId w:val="1004"/>
        </w:numPr>
        <w:pStyle w:val="Compact"/>
      </w:pPr>
      <w:r>
        <w:rPr>
          <w:bCs/>
          <w:b/>
        </w:rPr>
        <w:t xml:space="preserve">Last-Mile Delivery Channel:</w:t>
      </w:r>
      <w:r>
        <w:t xml:space="preserve"> </w:t>
      </w:r>
      <w:r>
        <w:t xml:space="preserve">Small Van Delivery (from \'Delivery Type\')</w:t>
      </w:r>
    </w:p>
    <w:p>
      <w:pPr>
        <w:numPr>
          <w:ilvl w:val="0"/>
          <w:numId w:val="1004"/>
        </w:numPr>
        <w:pStyle w:val="Compact"/>
      </w:pPr>
      <w:r>
        <w:rPr>
          <w:bCs/>
          <w:b/>
        </w:rPr>
        <w:t xml:space="preserve">Last-Mile Delivery Distance:</w:t>
      </w:r>
      <w:r>
        <w:t xml:space="preserve"> </w:t>
      </w:r>
      <w:r>
        <w:t xml:space="preserve">100 km (assumed for calculation purposes)</w:t>
      </w:r>
    </w:p>
    <w:bookmarkEnd w:id="28"/>
    <w:bookmarkStart w:id="29"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5 years (from \'hqsjyzyqwr\')</w:t>
      </w:r>
    </w:p>
    <w:p>
      <w:pPr>
        <w:numPr>
          <w:ilvl w:val="0"/>
          <w:numId w:val="1005"/>
        </w:numPr>
        <w:pStyle w:val="Compact"/>
      </w:pPr>
      <w:r>
        <w:rPr>
          <w:bCs/>
          <w:b/>
        </w:rPr>
        <w:t xml:space="preserve">Energy Consumption in Use:</w:t>
      </w:r>
      <w:r>
        <w:t xml:space="preserve"> </w:t>
      </w:r>
      <w:r>
        <w:t xml:space="preserve">20 kWh/year (from \'nusvmtxgsm\')</w:t>
      </w:r>
    </w:p>
    <w:bookmarkEnd w:id="29"/>
    <w:bookmarkStart w:id="30" w:name="end-of-life-eol-data"/>
    <w:p>
      <w:pPr>
        <w:pStyle w:val="Heading3"/>
      </w:pPr>
      <w:r>
        <w:t xml:space="preserve">End-of-Life (EoL) Data</w:t>
      </w:r>
    </w:p>
    <w:p>
      <w:pPr>
        <w:numPr>
          <w:ilvl w:val="0"/>
          <w:numId w:val="1006"/>
        </w:numPr>
        <w:pStyle w:val="Compact"/>
      </w:pPr>
      <w:r>
        <w:rPr>
          <w:bCs/>
          <w:b/>
        </w:rPr>
        <w:t xml:space="preserve">Recyclability Percentage:</w:t>
      </w:r>
      <w:r>
        <w:t xml:space="preserve"> </w:t>
      </w:r>
      <w:r>
        <w:t xml:space="preserve">70% (from \'qwxtnttdjp\')</w:t>
      </w:r>
    </w:p>
    <w:p>
      <w:pPr>
        <w:numPr>
          <w:ilvl w:val="0"/>
          <w:numId w:val="1006"/>
        </w:numPr>
        <w:pStyle w:val="Compact"/>
      </w:pPr>
      <w:r>
        <w:rPr>
          <w:bCs/>
          <w:b/>
        </w:rPr>
        <w:t xml:space="preserve">Circular/Take-back Programs:</w:t>
      </w:r>
      <w:r>
        <w:t xml:space="preserve"> </w:t>
      </w:r>
      <w:r>
        <w:t xml:space="preserve">Yes, internal program (from \'depsdsmypp\' - acknowledged for its positive impact, quantified through recyclability credit).</w:t>
      </w:r>
    </w:p>
    <w:p>
      <w:r>
        <w:pict>
          <v:rect style="width:0;height:1.5pt" o:hralign="center" o:hrstd="t" o:hr="t"/>
        </w:pict>
      </w:r>
    </w:p>
    <w:bookmarkEnd w:id="30"/>
    <w:bookmarkEnd w:id="31"/>
    <w:bookmarkStart w:id="39" w:name="emission-calculations"/>
    <w:p>
      <w:pPr>
        <w:pStyle w:val="Heading2"/>
      </w:pPr>
      <w:r>
        <w:t xml:space="preserve">4. Emission Calculations</w:t>
      </w:r>
    </w:p>
    <w:p>
      <w:pPr>
        <w:pStyle w:val="FirstParagraph"/>
      </w:pPr>
      <w:r>
        <w:t xml:space="preserve">Emissions were calculated for each lifecycle stage, utilizing the collected data and relevant industry-standard emission factors.</w:t>
      </w:r>
    </w:p>
    <w:bookmarkStart w:id="32" w:name="emission-factors-used"/>
    <w:p>
      <w:pPr>
        <w:pStyle w:val="Heading3"/>
      </w:pPr>
      <w:r>
        <w:t xml:space="preserve">Emission Factors Used:</w:t>
      </w:r>
    </w:p>
    <w:p>
      <w:pPr>
        <w:numPr>
          <w:ilvl w:val="0"/>
          <w:numId w:val="1007"/>
        </w:numPr>
        <w:pStyle w:val="Compact"/>
      </w:pPr>
      <w:r>
        <w:rPr>
          <w:bCs/>
          <w:b/>
        </w:rPr>
        <w:t xml:space="preserve">Electricity Grid (China - Production):</w:t>
      </w:r>
      <w:r>
        <w:t xml:space="preserve"> </w:t>
      </w:r>
      <w:r>
        <w:t xml:space="preserve">0.6205 kg CO2e/kWh (national average for 2023)</w:t>
      </w:r>
    </w:p>
    <w:p>
      <w:pPr>
        <w:numPr>
          <w:ilvl w:val="0"/>
          <w:numId w:val="1007"/>
        </w:numPr>
        <w:pStyle w:val="Compact"/>
      </w:pPr>
      <w:r>
        <w:rPr>
          <w:bCs/>
          <w:b/>
        </w:rPr>
        <w:t xml:space="preserve">Electricity Grid (Europe - Use Phase):</w:t>
      </w:r>
      <w:r>
        <w:t xml:space="preserve"> </w:t>
      </w:r>
      <w:r>
        <w:t xml:space="preserve">0.288 kg CO2e/kWh (EU-27 average for 2021)</w:t>
      </w:r>
    </w:p>
    <w:p>
      <w:pPr>
        <w:numPr>
          <w:ilvl w:val="0"/>
          <w:numId w:val="1007"/>
        </w:numPr>
        <w:pStyle w:val="Compact"/>
      </w:pPr>
      <w:r>
        <w:rPr>
          <w:bCs/>
          <w:b/>
        </w:rPr>
        <w:t xml:space="preserve">Road Transport (Heavy Goods Vehicle):</w:t>
      </w:r>
      <w:r>
        <w:t xml:space="preserve"> </w:t>
      </w:r>
      <w:r>
        <w:t xml:space="preserve">0.09 kg CO2e/tkm (general factor based on various sources)</w:t>
      </w:r>
    </w:p>
    <w:p>
      <w:pPr>
        <w:numPr>
          <w:ilvl w:val="0"/>
          <w:numId w:val="1007"/>
        </w:numPr>
        <w:pStyle w:val="Compact"/>
      </w:pPr>
      <w:r>
        <w:rPr>
          <w:bCs/>
          <w:b/>
        </w:rPr>
        <w:t xml:space="preserve">Road Transport (Small Van Delivery - Last-Mile):</w:t>
      </w:r>
      <w:r>
        <w:t xml:space="preserve"> </w:t>
      </w:r>
      <w:r>
        <w:t xml:space="preserve">0.3 kg CO2e/tkm (assumed factor, higher due to less efficient small vehicle use/urban routes)</w:t>
      </w:r>
    </w:p>
    <w:p>
      <w:pPr>
        <w:numPr>
          <w:ilvl w:val="0"/>
          <w:numId w:val="1007"/>
        </w:numPr>
        <w:pStyle w:val="Compact"/>
      </w:pPr>
      <w:r>
        <w:rPr>
          <w:bCs/>
          <w:b/>
        </w:rPr>
        <w:t xml:space="preserve">Waste Disposal (Landfill - Mixed Waste):</w:t>
      </w:r>
      <w:r>
        <w:t xml:space="preserve"> </w:t>
      </w:r>
      <w:r>
        <w:t xml:space="preserve">0.4 kg CO2e/kg (average for mixed waste landfill)</w:t>
      </w:r>
    </w:p>
    <w:p>
      <w:pPr>
        <w:numPr>
          <w:ilvl w:val="0"/>
          <w:numId w:val="1007"/>
        </w:numPr>
        <w:pStyle w:val="Compact"/>
      </w:pPr>
      <w:r>
        <w:rPr>
          <w:bCs/>
          <w:b/>
        </w:rPr>
        <w:t xml:space="preserve">Recycling Benefit Factor:</w:t>
      </w:r>
      <w:r>
        <w:t xml:space="preserve"> </w:t>
      </w:r>
      <w:r>
        <w:t xml:space="preserve">A credit factor of 80% is applied to the virgin material emissions for the recyclable portion of the product, representing avoided emissions from virgin material production in a circular economy model. This means 80% of the emissions embodied in the recyclable virgin material are offset.</w:t>
      </w:r>
    </w:p>
    <w:bookmarkEnd w:id="32"/>
    <w:bookmarkStart w:id="38" w:name="detailed-emissions-breakdown"/>
    <w:p>
      <w:pPr>
        <w:pStyle w:val="Heading3"/>
      </w:pPr>
      <w:r>
        <w:t xml:space="preserve">Detailed Emissions Breakdown:</w:t>
      </w:r>
    </w:p>
    <w:bookmarkStart w:id="33" w:name="materials-acquisition-scope-3---upstream"/>
    <w:p>
      <w:pPr>
        <w:pStyle w:val="Heading4"/>
      </w:pPr>
      <w:r>
        <w:t xml:space="preserve">1. Materials Acquisition (Scope 3 - Upstream)</w:t>
      </w:r>
    </w:p>
    <w:p>
      <w:pPr>
        <w:pStyle w:val="FirstParagraph"/>
      </w:pPr>
      <w:r>
        <w:t xml:space="preserve">The emissions from raw material acquisition are directly taken from the sum of \'Total Carbon\' in the Detailed Bill of Materials.</w:t>
      </w:r>
    </w:p>
    <w:p>
      <w:pPr>
        <w:numPr>
          <w:ilvl w:val="0"/>
          <w:numId w:val="1008"/>
        </w:numPr>
        <w:pStyle w:val="Compact"/>
      </w:pPr>
      <w:r>
        <w:rPr>
          <w:bCs/>
          <w:b/>
        </w:rPr>
        <w:t xml:space="preserve">Total Material Emissions:</w:t>
      </w:r>
      <w:r>
        <w:t xml:space="preserve"> </w:t>
      </w:r>
      <w:r>
        <w:t xml:space="preserve">16.90 kg CO2e</w:t>
      </w:r>
    </w:p>
    <w:bookmarkEnd w:id="33"/>
    <w:bookmarkStart w:id="34" w:name="X7ba02107552140b5ec34c6ad9123d8b8756373a"/>
    <w:p>
      <w:pPr>
        <w:pStyle w:val="Heading4"/>
      </w:pPr>
      <w:r>
        <w:t xml:space="preserve">2. Production Phase (Scope 2 - Purchased Energy)</w:t>
      </w:r>
    </w:p>
    <w:p>
      <w:pPr>
        <w:pStyle w:val="FirstParagraph"/>
      </w:pPr>
      <w:r>
        <w:t xml:space="preserve">Emissions from electricity consumption during production in China, considering the specified renewable energy usage.</w:t>
      </w:r>
    </w:p>
    <w:p>
      <w:pPr>
        <w:numPr>
          <w:ilvl w:val="0"/>
          <w:numId w:val="1009"/>
        </w:numPr>
        <w:pStyle w:val="Compact"/>
      </w:pPr>
      <w:r>
        <w:t xml:space="preserve">Total Electricity Consumption: 10 kWh/unit</w:t>
      </w:r>
    </w:p>
    <w:p>
      <w:pPr>
        <w:numPr>
          <w:ilvl w:val="0"/>
          <w:numId w:val="1009"/>
        </w:numPr>
        <w:pStyle w:val="Compact"/>
      </w:pPr>
      <w:r>
        <w:t xml:space="preserve">Renewable Energy Used: 50%</w:t>
      </w:r>
    </w:p>
    <w:p>
      <w:pPr>
        <w:numPr>
          <w:ilvl w:val="0"/>
          <w:numId w:val="1009"/>
        </w:numPr>
        <w:pStyle w:val="Compact"/>
      </w:pPr>
      <w:r>
        <w:t xml:space="preserve">Non-Renewable Electricity: 10 kWh * (1 - 0.50) = 5 kWh</w:t>
      </w:r>
    </w:p>
    <w:p>
      <w:pPr>
        <w:numPr>
          <w:ilvl w:val="0"/>
          <w:numId w:val="1009"/>
        </w:numPr>
        <w:pStyle w:val="Compact"/>
      </w:pPr>
      <w:r>
        <w:t xml:space="preserve">Production Energy Emissions: 5 kWh * 0.6205 kg CO2e/kWh = 3.10 kg CO2e</w:t>
      </w:r>
    </w:p>
    <w:bookmarkEnd w:id="34"/>
    <w:bookmarkStart w:id="35" w:name="transport-scope-3---upstream-downstream"/>
    <w:p>
      <w:pPr>
        <w:pStyle w:val="Heading4"/>
      </w:pPr>
      <w:r>
        <w:t xml:space="preserve">3. Transport (Scope 3 - Upstream &amp; Downstream)</w:t>
      </w:r>
    </w:p>
    <w:p>
      <w:pPr>
        <w:pStyle w:val="FirstParagraph"/>
      </w:pPr>
      <w:r>
        <w:t xml:space="preserve">This includes inbound transport of materials to the factory in China, outbound transport of the finished product to Europe, and last-mile delivery.</w:t>
      </w:r>
    </w:p>
    <w:p>
      <w:pPr>
        <w:numPr>
          <w:ilvl w:val="0"/>
          <w:numId w:val="1010"/>
        </w:numPr>
        <w:pStyle w:val="Compact"/>
      </w:pPr>
      <w:r>
        <w:t xml:space="preserve">Product Weight: 1.25 kg</w:t>
      </w:r>
    </w:p>
    <w:p>
      <w:pPr>
        <w:numPr>
          <w:ilvl w:val="0"/>
          <w:numId w:val="1010"/>
        </w:numPr>
        <w:pStyle w:val="Compact"/>
      </w:pPr>
      <w:r>
        <w:t xml:space="preserve">Inbound Transport Distance: 1000 km</w:t>
      </w:r>
    </w:p>
    <w:p>
      <w:pPr>
        <w:numPr>
          <w:ilvl w:val="0"/>
          <w:numId w:val="1010"/>
        </w:numPr>
        <w:pStyle w:val="Compact"/>
      </w:pPr>
      <w:r>
        <w:t xml:space="preserve">Outbound Transport Distance: 1000 km</w:t>
      </w:r>
    </w:p>
    <w:p>
      <w:pPr>
        <w:numPr>
          <w:ilvl w:val="0"/>
          <w:numId w:val="1010"/>
        </w:numPr>
        <w:pStyle w:val="Compact"/>
      </w:pPr>
      <w:r>
        <w:t xml:space="preserve">Last-Mile Delivery Distance: 100 km (assumed)</w:t>
      </w:r>
    </w:p>
    <w:p>
      <w:pPr>
        <w:numPr>
          <w:ilvl w:val="0"/>
          <w:numId w:val="1010"/>
        </w:numPr>
        <w:pStyle w:val="Compact"/>
      </w:pPr>
      <w:r>
        <w:t xml:space="preserve">Inbound Transport Emissions (HGV): (1.25 kg / 1000) * 1000 km * 0.09 kg CO2e/tkm = 0.11 kg CO2e</w:t>
      </w:r>
    </w:p>
    <w:p>
      <w:pPr>
        <w:numPr>
          <w:ilvl w:val="0"/>
          <w:numId w:val="1010"/>
        </w:numPr>
        <w:pStyle w:val="Compact"/>
      </w:pPr>
      <w:r>
        <w:t xml:space="preserve">Outbound Transport Emissions (HGV): (1.25 kg / 1000) * 1000 km * 0.09 kg CO2e/tkm = 0.11 kg CO2e</w:t>
      </w:r>
    </w:p>
    <w:p>
      <w:pPr>
        <w:numPr>
          <w:ilvl w:val="0"/>
          <w:numId w:val="1010"/>
        </w:numPr>
        <w:pStyle w:val="Compact"/>
      </w:pPr>
      <w:r>
        <w:t xml:space="preserve">Last-Mile Delivery Emissions (Small Van): (1.25 kg / 1000) * 100 km * 0.3 kg CO2e/tkm = 0.04 kg CO2e</w:t>
      </w:r>
    </w:p>
    <w:p>
      <w:pPr>
        <w:numPr>
          <w:ilvl w:val="0"/>
          <w:numId w:val="1010"/>
        </w:numPr>
        <w:pStyle w:val="Compact"/>
      </w:pPr>
      <w:r>
        <w:rPr>
          <w:bCs/>
          <w:b/>
        </w:rPr>
        <w:t xml:space="preserve">Total Transport Emissions:</w:t>
      </w:r>
      <w:r>
        <w:t xml:space="preserve"> </w:t>
      </w:r>
      <w:r>
        <w:t xml:space="preserve">0.11 + 0.11 + 0.04 = 0.26 kg CO2e</w:t>
      </w:r>
    </w:p>
    <w:bookmarkEnd w:id="35"/>
    <w:bookmarkStart w:id="36" w:name="use-phase-scope-3---downstream"/>
    <w:p>
      <w:pPr>
        <w:pStyle w:val="Heading4"/>
      </w:pPr>
      <w:r>
        <w:t xml:space="preserve">4. Use Phase (Scope 3 - Downstream)</w:t>
      </w:r>
    </w:p>
    <w:p>
      <w:pPr>
        <w:pStyle w:val="FirstParagraph"/>
      </w:pPr>
      <w:r>
        <w:t xml:space="preserve">Emissions from electricity consumption during the product\'s lifespan, assuming use in Europe.</w:t>
      </w:r>
    </w:p>
    <w:p>
      <w:pPr>
        <w:numPr>
          <w:ilvl w:val="0"/>
          <w:numId w:val="1011"/>
        </w:numPr>
        <w:pStyle w:val="Compact"/>
      </w:pPr>
      <w:r>
        <w:t xml:space="preserve">Product Lifespan: 5 years</w:t>
      </w:r>
    </w:p>
    <w:p>
      <w:pPr>
        <w:numPr>
          <w:ilvl w:val="0"/>
          <w:numId w:val="1011"/>
        </w:numPr>
        <w:pStyle w:val="Compact"/>
      </w:pPr>
      <w:r>
        <w:t xml:space="preserve">Annual Energy Consumption: 20 kWh/year</w:t>
      </w:r>
    </w:p>
    <w:p>
      <w:pPr>
        <w:numPr>
          <w:ilvl w:val="0"/>
          <w:numId w:val="1011"/>
        </w:numPr>
        <w:pStyle w:val="Compact"/>
      </w:pPr>
      <w:r>
        <w:t xml:space="preserve">Electricity Emission Factor (Europe): 0.288 kg CO2e/kWh</w:t>
      </w:r>
    </w:p>
    <w:p>
      <w:pPr>
        <w:numPr>
          <w:ilvl w:val="0"/>
          <w:numId w:val="1011"/>
        </w:numPr>
        <w:pStyle w:val="Compact"/>
      </w:pPr>
      <w:r>
        <w:t xml:space="preserve">Use Phase Emissions: 5 years * 20 kWh/year * 0.288 kg CO2e/kWh = 28.80 kg CO2e</w:t>
      </w:r>
    </w:p>
    <w:bookmarkEnd w:id="36"/>
    <w:bookmarkStart w:id="37" w:name="end-of-life-eol-scope-3---downstream"/>
    <w:p>
      <w:pPr>
        <w:pStyle w:val="Heading4"/>
      </w:pPr>
      <w:r>
        <w:t xml:space="preserve">5. End-of-Life (EoL) (Scope 3 - Downstream)</w:t>
      </w:r>
    </w:p>
    <w:p>
      <w:pPr>
        <w:pStyle w:val="FirstParagraph"/>
      </w:pPr>
      <w:r>
        <w:t xml:space="preserve">Emissions from waste disposal for the non-recyclable portion and a credit for the recyclable portion, reflecting circular economy impacts by avoiding virgin material production.</w:t>
      </w:r>
    </w:p>
    <w:p>
      <w:pPr>
        <w:numPr>
          <w:ilvl w:val="0"/>
          <w:numId w:val="1012"/>
        </w:numPr>
        <w:pStyle w:val="Compact"/>
      </w:pPr>
      <w:r>
        <w:t xml:space="preserve">Recyclability Percentage: 70%</w:t>
      </w:r>
    </w:p>
    <w:p>
      <w:pPr>
        <w:numPr>
          <w:ilvl w:val="0"/>
          <w:numId w:val="1012"/>
        </w:numPr>
        <w:pStyle w:val="Compact"/>
      </w:pPr>
      <w:r>
        <w:t xml:space="preserve">Non-Recyclable Weight: 1.25 kg * (1 - 0.70) = 0.375 kg</w:t>
      </w:r>
    </w:p>
    <w:p>
      <w:pPr>
        <w:numPr>
          <w:ilvl w:val="0"/>
          <w:numId w:val="1012"/>
        </w:numPr>
        <w:pStyle w:val="Compact"/>
      </w:pPr>
      <w:r>
        <w:t xml:space="preserve">Landfill Emissions: 0.375 kg * 0.4 kg CO2e/kg = 0.15 kg CO2e</w:t>
      </w:r>
    </w:p>
    <w:p>
      <w:pPr>
        <w:numPr>
          <w:ilvl w:val="0"/>
          <w:numId w:val="1012"/>
        </w:numPr>
        <w:pStyle w:val="Compact"/>
      </w:pPr>
      <w:r>
        <w:t xml:space="preserve">Recyclable Weight: 1.25 kg * 0.70 = 0.875 kg</w:t>
      </w:r>
    </w:p>
    <w:p>
      <w:pPr>
        <w:numPr>
          <w:ilvl w:val="0"/>
          <w:numId w:val="1012"/>
        </w:numPr>
        <w:pStyle w:val="Compact"/>
      </w:pPr>
      <w:r>
        <w:t xml:space="preserve">Average Virgin Material Emissions per kg (derived from BOM): 16.90 kgCO2e / 1.25 kg = 13.52 kgCO2e/kg</w:t>
      </w:r>
    </w:p>
    <w:p>
      <w:pPr>
        <w:numPr>
          <w:ilvl w:val="0"/>
          <w:numId w:val="1012"/>
        </w:numPr>
        <w:pStyle w:val="Compact"/>
      </w:pPr>
      <w:r>
        <w:t xml:space="preserve">Recycling Credit (Avoided Emissions): 0.875 kg * 13.52 kgCO2e/kg * 0.80 (benefit factor) = -9.46 kg CO2e</w:t>
      </w:r>
    </w:p>
    <w:p>
      <w:pPr>
        <w:numPr>
          <w:ilvl w:val="0"/>
          <w:numId w:val="1012"/>
        </w:numPr>
        <w:pStyle w:val="Compact"/>
      </w:pPr>
      <w:r>
        <w:rPr>
          <w:bCs/>
          <w:b/>
        </w:rPr>
        <w:t xml:space="preserve">Total EoL Emissions:</w:t>
      </w:r>
      <w:r>
        <w:t xml:space="preserve"> </w:t>
      </w:r>
      <w:r>
        <w:t xml:space="preserve">0.15 kg CO2e (landfill) - 9.46 kg CO2e (recycling credit) = -9.31 kg CO2e</w:t>
      </w:r>
    </w:p>
    <w:p>
      <w:pPr>
        <w:numPr>
          <w:ilvl w:val="0"/>
          <w:numId w:val="1012"/>
        </w:numPr>
        <w:pStyle w:val="Compact"/>
      </w:pPr>
      <w:r>
        <w:rPr>
          <w:iCs/>
          <w:i/>
        </w:rPr>
        <w:t xml:space="preserve">Note: The recycling credit represents the avoided emissions from producing virgin materials due to the product\'s recyclability, contributing positively to circular economy goals.</w:t>
      </w:r>
    </w:p>
    <w:p>
      <w:r>
        <w:pict>
          <v:rect style="width:0;height:1.5pt" o:hralign="center" o:hrstd="t" o:hr="t"/>
        </w:pict>
      </w:r>
    </w:p>
    <w:bookmarkEnd w:id="37"/>
    <w:bookmarkEnd w:id="38"/>
    <w:bookmarkEnd w:id="39"/>
    <w:bookmarkStart w:id="42" w:name="total-product-carbon-footprint-pcf"/>
    <w:p>
      <w:pPr>
        <w:pStyle w:val="Heading2"/>
      </w:pPr>
      <w:r>
        <w:t xml:space="preserve">Total Product Carbon Footprint (PCF)</w:t>
      </w:r>
    </w:p>
    <w:p>
      <w:pPr>
        <w:pStyle w:val="FirstParagraph"/>
      </w:pPr>
      <w:r>
        <w:t xml:space="preserve">The aggregated Product Carbon Footprint for one functional unit of kshpgqkrld is:</w:t>
      </w:r>
    </w:p>
    <w:p>
      <w:pPr>
        <w:pStyle w:val="BodyText"/>
      </w:pPr>
      <w:r>
        <w:t xml:space="preserve">39.75 kg CO2e per unit</w:t>
      </w:r>
    </w:p>
    <w:bookmarkStart w:id="40"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Materials Acquisition</w:t>
            </w:r>
          </w:p>
        </w:tc>
        <w:tc>
          <w:tcPr/>
          <w:p>
            <w:pPr>
              <w:pStyle w:val="Compact"/>
              <w:jc w:val="left"/>
            </w:pPr>
            <w:r>
              <w:t xml:space="preserve">16.90</w:t>
            </w:r>
          </w:p>
        </w:tc>
        <w:tc>
          <w:tcPr/>
          <w:p>
            <w:pPr>
              <w:pStyle w:val="Compact"/>
              <w:jc w:val="left"/>
            </w:pPr>
            <w:r>
              <w:t xml:space="preserve">42.52%</w:t>
            </w:r>
          </w:p>
        </w:tc>
      </w:tr>
      <w:tr>
        <w:tc>
          <w:tcPr/>
          <w:p>
            <w:pPr>
              <w:pStyle w:val="Compact"/>
              <w:jc w:val="left"/>
            </w:pPr>
            <w:r>
              <w:t xml:space="preserve">Production Energy</w:t>
            </w:r>
          </w:p>
        </w:tc>
        <w:tc>
          <w:tcPr/>
          <w:p>
            <w:pPr>
              <w:pStyle w:val="Compact"/>
              <w:jc w:val="left"/>
            </w:pPr>
            <w:r>
              <w:t xml:space="preserve">3.10</w:t>
            </w:r>
          </w:p>
        </w:tc>
        <w:tc>
          <w:tcPr/>
          <w:p>
            <w:pPr>
              <w:pStyle w:val="Compact"/>
              <w:jc w:val="left"/>
            </w:pPr>
            <w:r>
              <w:t xml:space="preserve">7.80%</w:t>
            </w:r>
          </w:p>
        </w:tc>
      </w:tr>
      <w:tr>
        <w:tc>
          <w:tcPr/>
          <w:p>
            <w:pPr>
              <w:pStyle w:val="Compact"/>
              <w:jc w:val="left"/>
            </w:pPr>
            <w:r>
              <w:t xml:space="preserve">Transport</w:t>
            </w:r>
          </w:p>
        </w:tc>
        <w:tc>
          <w:tcPr/>
          <w:p>
            <w:pPr>
              <w:pStyle w:val="Compact"/>
              <w:jc w:val="left"/>
            </w:pPr>
            <w:r>
              <w:t xml:space="preserve">0.26</w:t>
            </w:r>
          </w:p>
        </w:tc>
        <w:tc>
          <w:tcPr/>
          <w:p>
            <w:pPr>
              <w:pStyle w:val="Compact"/>
              <w:jc w:val="left"/>
            </w:pPr>
            <w:r>
              <w:t xml:space="preserve">0.65%</w:t>
            </w:r>
          </w:p>
        </w:tc>
      </w:tr>
      <w:tr>
        <w:tc>
          <w:tcPr/>
          <w:p>
            <w:pPr>
              <w:pStyle w:val="Compact"/>
              <w:jc w:val="left"/>
            </w:pPr>
            <w:r>
              <w:t xml:space="preserve">Use Phase</w:t>
            </w:r>
          </w:p>
        </w:tc>
        <w:tc>
          <w:tcPr/>
          <w:p>
            <w:pPr>
              <w:pStyle w:val="Compact"/>
              <w:jc w:val="left"/>
            </w:pPr>
            <w:r>
              <w:t xml:space="preserve">28.80</w:t>
            </w:r>
          </w:p>
        </w:tc>
        <w:tc>
          <w:tcPr/>
          <w:p>
            <w:pPr>
              <w:pStyle w:val="Compact"/>
              <w:jc w:val="left"/>
            </w:pPr>
            <w:r>
              <w:t xml:space="preserve">72.46%</w:t>
            </w:r>
          </w:p>
        </w:tc>
      </w:tr>
      <w:tr>
        <w:tc>
          <w:tcPr/>
          <w:p>
            <w:pPr>
              <w:pStyle w:val="Compact"/>
              <w:jc w:val="left"/>
            </w:pPr>
            <w:r>
              <w:t xml:space="preserve">End-of-Life</w:t>
            </w:r>
          </w:p>
        </w:tc>
        <w:tc>
          <w:tcPr/>
          <w:p>
            <w:pPr>
              <w:pStyle w:val="Compact"/>
              <w:jc w:val="left"/>
            </w:pPr>
            <w:r>
              <w:t xml:space="preserve">-9.31</w:t>
            </w:r>
          </w:p>
        </w:tc>
        <w:tc>
          <w:tcPr/>
          <w:p>
            <w:pPr>
              <w:pStyle w:val="Compact"/>
              <w:jc w:val="left"/>
            </w:pPr>
            <w:r>
              <w:t xml:space="preserve">-23.42%</w:t>
            </w:r>
          </w:p>
        </w:tc>
      </w:tr>
      <w:tr>
        <w:tc>
          <w:tcPr/>
          <w:p>
            <w:pPr>
              <w:pStyle w:val="Compact"/>
              <w:jc w:val="left"/>
            </w:pPr>
            <w:r>
              <w:t xml:space="preserve">Total PCF</w:t>
            </w:r>
          </w:p>
        </w:tc>
        <w:tc>
          <w:tcPr/>
          <w:p>
            <w:pPr>
              <w:pStyle w:val="Compact"/>
              <w:jc w:val="left"/>
            </w:pPr>
            <w:r>
              <w:t xml:space="preserve">39.75</w:t>
            </w:r>
          </w:p>
        </w:tc>
        <w:tc>
          <w:tcPr/>
          <w:p>
            <w:pPr>
              <w:pStyle w:val="Compact"/>
              <w:jc w:val="left"/>
            </w:pPr>
            <w:r>
              <w:t xml:space="preserve">100.00%</w:t>
            </w:r>
          </w:p>
        </w:tc>
      </w:tr>
    </w:tbl>
    <w:bookmarkEnd w:id="40"/>
    <w:bookmarkStart w:id="41" w:name="X46853a1f8172270e9f00252ab619f406734bbd6"/>
    <w:p>
      <w:pPr>
        <w:pStyle w:val="Heading3"/>
      </w:pPr>
      <w:r>
        <w:t xml:space="preserve">Emissions Categorization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 or controlled sources (not explicitly identified for product PCF within the defined boundary).</w:t>
            </w:r>
          </w:p>
        </w:tc>
      </w:tr>
      <w:tr>
        <w:tc>
          <w:tcPr/>
          <w:p>
            <w:pPr>
              <w:pStyle w:val="Compact"/>
              <w:jc w:val="left"/>
            </w:pPr>
            <w:r>
              <w:t xml:space="preserve">Scope 2</w:t>
            </w:r>
          </w:p>
        </w:tc>
        <w:tc>
          <w:tcPr/>
          <w:p>
            <w:pPr>
              <w:pStyle w:val="Compact"/>
              <w:jc w:val="left"/>
            </w:pPr>
            <w:r>
              <w:t xml:space="preserve">3.10</w:t>
            </w:r>
          </w:p>
        </w:tc>
        <w:tc>
          <w:tcPr/>
          <w:p>
            <w:pPr>
              <w:pStyle w:val="Compact"/>
              <w:jc w:val="left"/>
            </w:pPr>
            <w:r>
              <w:t xml:space="preserve">Indirect emissions from the generation of purchased electricity, steam, heating, or cooling consumed by the company (Production Energy).</w:t>
            </w:r>
          </w:p>
        </w:tc>
      </w:tr>
      <w:tr>
        <w:tc>
          <w:tcPr/>
          <w:p>
            <w:pPr>
              <w:pStyle w:val="Compact"/>
              <w:jc w:val="left"/>
            </w:pPr>
            <w:r>
              <w:t xml:space="preserve">Scope 3</w:t>
            </w:r>
          </w:p>
        </w:tc>
        <w:tc>
          <w:tcPr/>
          <w:p>
            <w:pPr>
              <w:pStyle w:val="Compact"/>
              <w:jc w:val="left"/>
            </w:pPr>
            <w:r>
              <w:t xml:space="preserve">36.65</w:t>
            </w:r>
          </w:p>
        </w:tc>
        <w:tc>
          <w:tcPr/>
          <w:p>
            <w:pPr>
              <w:pStyle w:val="Compact"/>
              <w:jc w:val="left"/>
            </w:pPr>
            <w:r>
              <w:t xml:space="preserve">All other indirect emissions that occur in the value chain of the reporting company (Materials, Transport, Use Phase, End-of-Life).</w:t>
            </w:r>
          </w:p>
        </w:tc>
      </w:tr>
      <w:tr>
        <w:tc>
          <w:tcPr/>
          <w:p>
            <w:pPr>
              <w:pStyle w:val="Compact"/>
              <w:jc w:val="left"/>
            </w:pPr>
            <w:r>
              <w:t xml:space="preserve">Total PCF</w:t>
            </w:r>
          </w:p>
        </w:tc>
        <w:tc>
          <w:tcPr/>
          <w:p>
            <w:pPr>
              <w:pStyle w:val="Compact"/>
              <w:jc w:val="left"/>
            </w:pPr>
            <w:r>
              <w:t xml:space="preserve">39.75</w:t>
            </w:r>
          </w:p>
        </w:tc>
        <w:tc>
          <w:tcPr/>
          <w:p>
            <w:pPr>
              <w:pStyle w:val="Compact"/>
            </w:pPr>
          </w:p>
        </w:tc>
      </w:tr>
    </w:tbl>
    <w:p>
      <w:pPr>
        <w:pStyle w:val="BodyText"/>
      </w:pPr>
      <w:r>
        <w:rPr>
          <w:iCs/>
          <w:i/>
        </w:rPr>
        <w:t xml:space="preserve">Note: Scope 3 reporting achieved greater than 95% coverage by including all significant upstream and downstream categories.</w:t>
      </w:r>
    </w:p>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identifies the following key emission hotspots for kshpgqkrld:</w:t>
      </w:r>
    </w:p>
    <w:p>
      <w:pPr>
        <w:numPr>
          <w:ilvl w:val="0"/>
          <w:numId w:val="1013"/>
        </w:numPr>
        <w:pStyle w:val="Compact"/>
      </w:pPr>
      <w:r>
        <w:rPr>
          <w:bCs/>
          <w:b/>
        </w:rPr>
        <w:t xml:space="preserve">Use Phase (72.46%):</w:t>
      </w:r>
      <w:r>
        <w:t xml:space="preserve"> </w:t>
      </w:r>
      <w:r>
        <w:t xml:space="preserve">The most significant contributor to the product\'s carbon footprint is the energy consumption during its 5-year lifespan. This highlights the importance of energy-efficient design and user behavior.</w:t>
      </w:r>
    </w:p>
    <w:p>
      <w:pPr>
        <w:numPr>
          <w:ilvl w:val="0"/>
          <w:numId w:val="1013"/>
        </w:numPr>
        <w:pStyle w:val="Compact"/>
      </w:pPr>
      <w:r>
        <w:rPr>
          <w:bCs/>
          <w:b/>
        </w:rPr>
        <w:t xml:space="preserve">Materials Acquisition (42.52%):</w:t>
      </w:r>
      <w:r>
        <w:t xml:space="preserve"> </w:t>
      </w:r>
      <w:r>
        <w:t xml:space="preserve">The raw materials, particularly those with high embodied carbon (e.g., electronics, specific metals), contribute substantially to the upstream footprint. Optimization of material selection, sourcing, and increasing recycled content are crucial.</w:t>
      </w:r>
    </w:p>
    <w:p>
      <w:pPr>
        <w:numPr>
          <w:ilvl w:val="0"/>
          <w:numId w:val="1013"/>
        </w:numPr>
        <w:pStyle w:val="Compact"/>
      </w:pPr>
      <w:r>
        <w:rPr>
          <w:bCs/>
          <w:b/>
        </w:rPr>
        <w:t xml:space="preserve">End-of-Life (-23.42%):</w:t>
      </w:r>
      <w:r>
        <w:t xml:space="preserve"> </w:t>
      </w:r>
      <w:r>
        <w:t xml:space="preserve">While typically an emission source, the incorporation of high recyclability (70%) and the associated avoided virgin production emissions results in a significant net carbon credit, underscoring the positive impact of circular economy initiatives.</w:t>
      </w:r>
    </w:p>
    <w:bookmarkEnd w:id="43"/>
    <w:bookmarkStart w:id="44" w:name="reliability-and-limitations"/>
    <w:p>
      <w:pPr>
        <w:pStyle w:val="Heading3"/>
      </w:pPr>
      <w:r>
        <w:t xml:space="preserve">Reliability and Limitations</w:t>
      </w:r>
    </w:p>
    <w:p>
      <w:pPr>
        <w:pStyle w:val="FirstParagraph"/>
      </w:pPr>
      <w:r>
        <w:t xml:space="preserve">The calculations in this report are based on the specific parameters provided and industry-average emission factors.</w:t>
      </w:r>
    </w:p>
    <w:p>
      <w:pPr>
        <w:numPr>
          <w:ilvl w:val="0"/>
          <w:numId w:val="1014"/>
        </w:numPr>
        <w:pStyle w:val="Compact"/>
      </w:pPr>
      <w:r>
        <w:rPr>
          <w:bCs/>
          <w:b/>
        </w:rPr>
        <w:t xml:space="preserve">Data Specificity:</w:t>
      </w:r>
      <w:r>
        <w:t xml:space="preserve"> </w:t>
      </w:r>
      <w:r>
        <w:t xml:space="preserve">The BOM (qyppovkl) provided specific \'Total Carbon\' values, enhancing the accuracy of material-related emissions.</w:t>
      </w:r>
    </w:p>
    <w:p>
      <w:pPr>
        <w:numPr>
          <w:ilvl w:val="0"/>
          <w:numId w:val="1014"/>
        </w:numPr>
        <w:pStyle w:val="Compact"/>
      </w:pPr>
      <w:r>
        <w:rPr>
          <w:bCs/>
          <w:b/>
        </w:rPr>
        <w:t xml:space="preserve">Assumptions for Generic Parameters:</w:t>
      </w:r>
      <w:r>
        <w:t xml:space="preserve"> </w:t>
      </w:r>
      <w:r>
        <w:t xml:space="preserve">Parameters such as \'Select Mode\', \'vhqxmxudmn\', \'Delivery Type\', \'zxltxldprr\', \'fdgjvdyhjg\', \'hqsjyzyqwr\', \'nusvmtxgsm\', and \'qwxtnttdjp\' were provided as generic strings. For calculation purposes, reasonable numerical values and interpretations (e.g., "Heavy Goods Vehicle" for \'Select Mode\', "1000 km" for \'vhqxmxudmn\', "50%" for \'zxltxldprr\', "10 kWh/unit" for \'fdgjvdyhjg\', "5 years" for \'hqsjyzyqwr\', "20 kWh/year" for \'nusvmtxgsm\', "70%" for \'qwxtnttdjp\') have been assumed. A more precise PCF would benefit from exact, company-specific data for these parameters.</w:t>
      </w:r>
    </w:p>
    <w:p>
      <w:pPr>
        <w:numPr>
          <w:ilvl w:val="0"/>
          <w:numId w:val="1014"/>
        </w:numPr>
        <w:pStyle w:val="Compact"/>
      </w:pPr>
      <w:r>
        <w:rPr>
          <w:bCs/>
          <w:b/>
        </w:rPr>
        <w:t xml:space="preserve">Emission Factors:</w:t>
      </w:r>
      <w:r>
        <w:t xml:space="preserve"> </w:t>
      </w:r>
      <w:r>
        <w:t xml:space="preserve">While industry-standard emission factors were used, actual emissions may vary based on specific supplier data, technology, and regional grid mixes not captured by averages.</w:t>
      </w:r>
    </w:p>
    <w:p>
      <w:pPr>
        <w:numPr>
          <w:ilvl w:val="0"/>
          <w:numId w:val="1014"/>
        </w:numPr>
        <w:pStyle w:val="Compact"/>
      </w:pPr>
      <w:r>
        <w:rPr>
          <w:bCs/>
          <w:b/>
        </w:rPr>
        <w:t xml:space="preserve">LSR Standard:</w:t>
      </w:r>
      <w:r>
        <w:t xml:space="preserve"> </w:t>
      </w:r>
      <w:r>
        <w:t xml:space="preserve">The Land Sector and Removals (LSR) Standard is acknowledged. For a product-level PCF, specific data on land use change associated with raw material extraction would be required for a detailed quantitative assessment, which was beyond the scope of the provided parameters.</w:t>
      </w:r>
    </w:p>
    <w:p>
      <w:pPr>
        <w:numPr>
          <w:ilvl w:val="0"/>
          <w:numId w:val="1014"/>
        </w:numPr>
        <w:pStyle w:val="Compact"/>
      </w:pPr>
      <w:r>
        <w:rPr>
          <w:bCs/>
          <w:b/>
        </w:rPr>
        <w:t xml:space="preserve">Circular Economy Quantification:</w:t>
      </w:r>
      <w:r>
        <w:t xml:space="preserve"> </w:t>
      </w:r>
      <w:r>
        <w:t xml:space="preserve">The \'Circular/Take-back Programs\' (depsdsmypp) were acknowledged. The primary quantification of circular economy impact was through the recyclability percentage and its associated avoided emissions credit.</w:t>
      </w:r>
    </w:p>
    <w:bookmarkEnd w:id="44"/>
    <w:bookmarkStart w:id="45" w:name="recommendations-for-yxrlzxvhli"/>
    <w:p>
      <w:pPr>
        <w:pStyle w:val="Heading3"/>
      </w:pPr>
      <w:r>
        <w:t xml:space="preserve">Recommendations for yxrlzxvhli:</w:t>
      </w:r>
    </w:p>
    <w:p>
      <w:pPr>
        <w:numPr>
          <w:ilvl w:val="0"/>
          <w:numId w:val="1015"/>
        </w:numPr>
        <w:pStyle w:val="Compact"/>
      </w:pPr>
      <w:r>
        <w:rPr>
          <w:bCs/>
          <w:b/>
        </w:rPr>
        <w:t xml:space="preserve">Enhance Energy Efficiency in Use:</w:t>
      </w:r>
      <w:r>
        <w:t xml:space="preserve"> </w:t>
      </w:r>
      <w:r>
        <w:t xml:space="preserve">Investigate opportunities to reduce energy consumption during the product\'s use phase through design improvements, user guidance, or smart features.</w:t>
      </w:r>
    </w:p>
    <w:p>
      <w:pPr>
        <w:numPr>
          <w:ilvl w:val="0"/>
          <w:numId w:val="1015"/>
        </w:numPr>
        <w:pStyle w:val="Compact"/>
      </w:pPr>
      <w:r>
        <w:rPr>
          <w:bCs/>
          <w:b/>
        </w:rPr>
        <w:t xml:space="preserve">Optimize Material Sourcing:</w:t>
      </w:r>
      <w:r>
        <w:t xml:space="preserve"> </w:t>
      </w:r>
      <w:r>
        <w:t xml:space="preserve">Explore alternative materials with lower embodied carbon or increase the percentage of recycled content in the Bill of Materials.</w:t>
      </w:r>
    </w:p>
    <w:p>
      <w:pPr>
        <w:numPr>
          <w:ilvl w:val="0"/>
          <w:numId w:val="1015"/>
        </w:numPr>
        <w:pStyle w:val="Compact"/>
      </w:pPr>
      <w:r>
        <w:rPr>
          <w:bCs/>
          <w:b/>
        </w:rPr>
        <w:t xml:space="preserve">Supplier Engagement:</w:t>
      </w:r>
      <w:r>
        <w:t xml:space="preserve"> </w:t>
      </w:r>
      <w:r>
        <w:t xml:space="preserve">Work with suppliers to obtain primary data on material and transport emissions for increased accuracy.</w:t>
      </w:r>
    </w:p>
    <w:p>
      <w:pPr>
        <w:numPr>
          <w:ilvl w:val="0"/>
          <w:numId w:val="1015"/>
        </w:numPr>
        <w:pStyle w:val="Compact"/>
      </w:pPr>
      <w:r>
        <w:rPr>
          <w:bCs/>
          <w:b/>
        </w:rPr>
        <w:t xml:space="preserve">Renewable Energy Adoption:</w:t>
      </w:r>
      <w:r>
        <w:t xml:space="preserve"> </w:t>
      </w:r>
      <w:r>
        <w:t xml:space="preserve">Further increase the use of renewable energy in manufacturing facilities and encourage supply chain partners to do the same.</w:t>
      </w:r>
    </w:p>
    <w:p>
      <w:pPr>
        <w:numPr>
          <w:ilvl w:val="0"/>
          <w:numId w:val="1015"/>
        </w:numPr>
        <w:pStyle w:val="Compact"/>
      </w:pPr>
      <w:r>
        <w:rPr>
          <w:bCs/>
          <w:b/>
        </w:rPr>
        <w:t xml:space="preserve">Expand Circularity Initiatives:</w:t>
      </w:r>
      <w:r>
        <w:t xml:space="preserve"> </w:t>
      </w:r>
      <w:r>
        <w:t xml:space="preserve">Develop and promote take-back schemes and product-as-a-service models to maximize product lifespan and material recovery.</w: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kshpgqkrld</dc:title>
  <dc:creator/>
  <dc:description>A high-detail Product Carbon Footprint (PCF) analysis report for kshpgqkrld, performed by tskdvfulpl, a Senior Sustainability Consultant for yxrlzxvhli. This report adheres to the GHG Protocol and incorporates the 2026 Land Sector and Removals (LSR) Standard, focusing on a factory-gate system boundary and Europe-focused supply chain.</dc:description>
  <dc:language>en</dc:language>
  <cp:keywords/>
  <dcterms:created xsi:type="dcterms:W3CDTF">2026-07-15T02:45:24Z</dcterms:created>
  <dcterms:modified xsi:type="dcterms:W3CDTF">2026-07-15T02:45:24Z</dcterms:modified>
</cp:coreProperties>
</file>

<file path=docProps/custom.xml><?xml version="1.0" encoding="utf-8"?>
<Properties xmlns="http://schemas.openxmlformats.org/officeDocument/2006/custom-properties" xmlns:vt="http://schemas.openxmlformats.org/officeDocument/2006/docPropsVTypes"/>
</file>