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krozgquizp</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krozgquizp"/>
    <w:p>
      <w:pPr>
        <w:pStyle w:val="Heading2"/>
      </w:pPr>
      <w:r>
        <w:t xml:space="preserve">for krozgquizp</w:t>
      </w:r>
    </w:p>
    <w:p>
      <w:pPr>
        <w:pStyle w:val="FirstParagraph"/>
      </w:pPr>
      <w:r>
        <w:br/>
      </w:r>
      <w:r>
        <w:br/>
      </w:r>
    </w:p>
    <w:p>
      <w:pPr>
        <w:pStyle w:val="BodyText"/>
      </w:pPr>
      <w:r>
        <w:rPr>
          <w:bCs/>
          <w:b/>
        </w:rPr>
        <w:t xml:space="preserve">Company Name:</w:t>
      </w:r>
      <w:r>
        <w:t xml:space="preserve"> </w:t>
      </w:r>
      <w:r>
        <w:t xml:space="preserve">thdkymdjjx</w:t>
      </w:r>
    </w:p>
    <w:p>
      <w:pPr>
        <w:pStyle w:val="BodyText"/>
      </w:pPr>
      <w:r>
        <w:rPr>
          <w:bCs/>
          <w:b/>
        </w:rPr>
        <w:t xml:space="preserve">Senior Sustainability Consultant:</w:t>
      </w:r>
      <w:r>
        <w:t xml:space="preserve"> </w:t>
      </w:r>
      <w:r>
        <w:t xml:space="preserve">gtnxejpqvf</w:t>
      </w:r>
    </w:p>
    <w:p>
      <w:pPr>
        <w:pStyle w:val="BodyText"/>
      </w:pPr>
      <w:r>
        <w:rPr>
          <w:bCs/>
          <w:b/>
        </w:rPr>
        <w:t xml:space="preserve">Accounting Standard:</w:t>
      </w:r>
      <w:r>
        <w:t xml:space="preserve"> </w:t>
      </w:r>
      <w:r>
        <w:t xml:space="preserve">GHG Protocol</w:t>
      </w:r>
    </w:p>
    <w:p>
      <w:pPr>
        <w:pStyle w:val="BodyText"/>
      </w:pPr>
      <w:r>
        <w:br/>
      </w:r>
      <w:r>
        <w:br/>
      </w:r>
      <w:r>
        <w:br/>
      </w:r>
      <w:r>
        <w:br/>
      </w:r>
    </w:p>
    <w:p>
      <w:pPr>
        <w:pStyle w:val="BodyText"/>
      </w:pPr>
      <w:r>
        <w:t xml:space="preserve">This report is generated based on available data and industry standards, providing an estimate of the product\'s carbon footprint.</w:t>
      </w:r>
    </w:p>
    <w:bookmarkEnd w:id="20"/>
    <w:bookmarkEnd w:id="21"/>
    <w:bookmarkStart w:id="22" w:name="Xa87d010c1fd868336511b306fbd202996615f12"/>
    <w:p>
      <w:pPr>
        <w:pStyle w:val="Heading1"/>
      </w:pPr>
      <w:r>
        <w:t xml:space="preserve">Product Carbon Footprint Analysis Report</w:t>
      </w:r>
    </w:p>
    <w:p>
      <w:pPr>
        <w:pStyle w:val="FirstParagraph"/>
      </w:pPr>
      <w:r>
        <w:t xml:space="preserve">for krozgquizp</w:t>
      </w:r>
    </w:p>
    <w:p>
      <w:pPr>
        <w:pStyle w:val="BodyText"/>
      </w:pPr>
      <w:r>
        <w:t xml:space="preserve">Generated Date: May 19, 2026</w:t>
      </w:r>
    </w:p>
    <w:bookmarkEnd w:id="22"/>
    <w:p>
      <w:r>
        <w:pict>
          <v:rect style="width:0;height:1.5pt" o:hralign="center" o:hrstd="t" o:hr="t"/>
        </w:pict>
      </w:r>
    </w:p>
    <w:bookmarkStart w:id="23" w:name="executive-summary"/>
    <w:p>
      <w:pPr>
        <w:pStyle w:val="Heading2"/>
      </w:pPr>
      <w:r>
        <w:t xml:space="preserve">1. Executive Summary</w:t>
      </w:r>
    </w:p>
    <w:p>
      <w:pPr>
        <w:pStyle w:val="FirstParagraph"/>
      </w:pPr>
      <w:r>
        <w:t xml:space="preserve">This report presents a high-detail Product Carbon Footprint (PCF) analysis for \'krozgquizp\' manufactured by \'thdkymdjjx\'. The assessment adheres to the Greenhouse Gas (GHG) Protocol, including an anticipatory application of the 2026 Land Sector and Removals (LSR) Standard. The goal is to quantify the total greenhouse gas emissions (expressed in CO2e) associated with \'krozgquizp\' from a cradle-to-gate perspective, with an expanded analysis for the use and end-of-life phases, identifying key emission hotspots across its lifecycle. This analysis aims to support thdkymdjjx in its sustainability strategy and decarbonization efforts.</w:t>
      </w:r>
    </w:p>
    <w:p>
      <w:r>
        <w:pict>
          <v:rect style="width:0;height:1.5pt" o:hralign="center" o:hrstd="t" o:hr="t"/>
        </w:pict>
      </w:r>
    </w:p>
    <w:bookmarkEnd w:id="23"/>
    <w:bookmarkStart w:id="24" w:name="methodology"/>
    <w:p>
      <w:pPr>
        <w:pStyle w:val="Heading2"/>
      </w:pPr>
      <w:r>
        <w:t xml:space="preserve">2. Methodology</w:t>
      </w:r>
    </w:p>
    <w:p>
      <w:pPr>
        <w:pStyle w:val="FirstParagraph"/>
      </w:pPr>
      <w:r>
        <w:t xml:space="preserve">The Product Carbon Footprint (PCF) analysis for krozgquizp follows a robust methodology based on the GHG Protocol Product Standard, encompassing five key steps. This approach ensures accuracy, completeness, and consistency in accordance with international best practices.</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Identify all relevant processes and stages throughout the product\'s life cycle.</w:t>
      </w:r>
    </w:p>
    <w:p>
      <w:pPr>
        <w:numPr>
          <w:ilvl w:val="0"/>
          <w:numId w:val="1001"/>
        </w:numPr>
        <w:pStyle w:val="Compact"/>
      </w:pPr>
      <w:r>
        <w:rPr>
          <w:bCs/>
          <w:b/>
        </w:rPr>
        <w:t xml:space="preserve">Collect Data:</w:t>
      </w:r>
      <w:r>
        <w:t xml:space="preserve"> </w:t>
      </w:r>
      <w:r>
        <w:t xml:space="preserve">Gather primary and secondary data points for all identified activities and material flows.</w:t>
      </w:r>
    </w:p>
    <w:p>
      <w:pPr>
        <w:numPr>
          <w:ilvl w:val="0"/>
          <w:numId w:val="1001"/>
        </w:numPr>
        <w:pStyle w:val="Compact"/>
      </w:pPr>
      <w:r>
        <w:rPr>
          <w:bCs/>
          <w:b/>
        </w:rPr>
        <w:t xml:space="preserve">Calculate Emissions:</w:t>
      </w:r>
      <w:r>
        <w:t xml:space="preserve"> </w:t>
      </w:r>
      <w:r>
        <w:t xml:space="preserve">Quantify GHG emissions using activity data multiplied by appropriate emission factors.</w:t>
      </w:r>
    </w:p>
    <w:p>
      <w:pPr>
        <w:numPr>
          <w:ilvl w:val="0"/>
          <w:numId w:val="1001"/>
        </w:numPr>
        <w:pStyle w:val="Compact"/>
      </w:pPr>
      <w:r>
        <w:rPr>
          <w:bCs/>
          <w:b/>
        </w:rPr>
        <w:t xml:space="preserve">Review &amp; Report:</w:t>
      </w:r>
      <w:r>
        <w:t xml:space="preserve"> </w:t>
      </w:r>
      <w:r>
        <w:t xml:space="preserve">Analyze results, identify hotspots, assess reliability, and present findings.</w:t>
      </w:r>
    </w:p>
    <w:p>
      <w:pPr>
        <w:pStyle w:val="FirstParagraph"/>
      </w:pPr>
      <w:r>
        <w:t xml:space="preserve">Throughout this report, emissions are categorized according to the GHG Protocol\'s Scope 1 (direct), Scope 2 (purchased energy), and Scope 3 (value chain) definitions.</w:t>
      </w:r>
    </w:p>
    <w:p>
      <w:pPr>
        <w:pStyle w:val="BodyText"/>
      </w:pPr>
      <w:r>
        <w:t xml:space="preserve">The 2026 Land Sector and Removals (LSR) Standard, effective from January 1, 2027, has been considered. While specific land-use changes directly attributable to krozgquizp\'s manufacturing or immediate supply chain are not explicitly detailed in the provided parameters, the principles of accounting for biogenic carbon and removals are incorporated into the End-of-Life considerations where applicable. The LSR Standard provides methods to quantify and report land emissions and CO₂ removals.</w:t>
      </w:r>
    </w:p>
    <w:p>
      <w:pPr>
        <w:pStyle w:val="BodyText"/>
      </w:pPr>
      <w:r>
        <w:t xml:space="preserve">For Scope 3 reporting, a target of at least 95% coverage is ensured to meet the anticipated 2026 requirements, focusing on material production, transport, use, and end-of-life phases.</w:t>
      </w:r>
    </w:p>
    <w:p>
      <w:r>
        <w:pict>
          <v:rect style="width:0;height:1.5pt" o:hralign="center" o:hrstd="t" o:hr="t"/>
        </w:pict>
      </w:r>
    </w:p>
    <w:bookmarkEnd w:id="24"/>
    <w:bookmarkStart w:id="29" w:name="step-1-define-scope"/>
    <w:p>
      <w:pPr>
        <w:pStyle w:val="Heading2"/>
      </w:pPr>
      <w:r>
        <w:t xml:space="preserve">3. Step 1: Define Scope</w:t>
      </w:r>
    </w:p>
    <w:bookmarkStart w:id="25" w:name="functional-unit"/>
    <w:p>
      <w:pPr>
        <w:pStyle w:val="Heading3"/>
      </w:pPr>
      <w:r>
        <w:t xml:space="preserve">3.1. Functional Unit</w:t>
      </w:r>
    </w:p>
    <w:p>
      <w:pPr>
        <w:pStyle w:val="FirstParagraph"/>
      </w:pPr>
      <w:r>
        <w:t xml:space="preserve">The functional unit for this PCF analysis is defined as:</w:t>
      </w:r>
      <w:r>
        <w:t xml:space="preserve"> </w:t>
      </w:r>
      <w:r>
        <w:rPr>
          <w:bCs/>
          <w:b/>
        </w:rPr>
        <w:t xml:space="preserve">1.0 unit of krozgquizp</w:t>
      </w:r>
      <w:r>
        <w:t xml:space="preserve">.</w:t>
      </w:r>
    </w:p>
    <w:bookmarkEnd w:id="25"/>
    <w:bookmarkStart w:id="26" w:name="system-boundary"/>
    <w:p>
      <w:pPr>
        <w:pStyle w:val="Heading3"/>
      </w:pPr>
      <w:r>
        <w:t xml:space="preserve">3.2. System Boundary</w:t>
      </w:r>
    </w:p>
    <w:p>
      <w:pPr>
        <w:pStyle w:val="FirstParagraph"/>
      </w:pPr>
      <w:r>
        <w:t xml:space="preserve">The system boundary for this analysis is</w:t>
      </w:r>
      <w:r>
        <w:t xml:space="preserve"> </w:t>
      </w:r>
      <w:r>
        <w:rPr>
          <w:bCs/>
          <w:b/>
        </w:rPr>
        <w:t xml:space="preserve">factory_gate</w:t>
      </w:r>
      <w:r>
        <w:t xml:space="preserve"> </w:t>
      </w:r>
      <w:r>
        <w:t xml:space="preserve">(cradle-to-gate), with expanded calculations for the Use Phase and End-of-Life. This covers all emissions from raw material extraction, processing, manufacturing, and transport to the factory gate. Additionally, downstream emissions from the product\'s use and end-of-life are included to provide a more comprehensive view of its total lifecycle impact.</w:t>
      </w:r>
    </w:p>
    <w:bookmarkEnd w:id="26"/>
    <w:bookmarkStart w:id="27" w:name="geographic-scope"/>
    <w:p>
      <w:pPr>
        <w:pStyle w:val="Heading3"/>
      </w:pPr>
      <w:r>
        <w:t xml:space="preserve">3.3.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raw materials and component sourcing to the China production facility, and onward distribution)</w:t>
      </w:r>
    </w:p>
    <w:bookmarkEnd w:id="27"/>
    <w:bookmarkStart w:id="28" w:name="allocation"/>
    <w:p>
      <w:pPr>
        <w:pStyle w:val="Heading3"/>
      </w:pPr>
      <w:r>
        <w:t xml:space="preserve">3.4. Allocation</w:t>
      </w:r>
    </w:p>
    <w:p>
      <w:pPr>
        <w:pStyle w:val="FirstParagraph"/>
      </w:pPr>
      <w:r>
        <w:t xml:space="preserve">Emissions are directly attributed to the functional unit (1.0 unit of krozgquizp). For any potential co-products or by-products in the supply chain, a mass-based allocation approach is assumed where specific primary data is unavailable, aligning with GHG Protocol guidance to ensure that emissions are fairly distributed based on the economic or physical relationships between products.</w:t>
      </w:r>
    </w:p>
    <w:p>
      <w:r>
        <w:pict>
          <v:rect style="width:0;height:1.5pt" o:hralign="center" o:hrstd="t" o:hr="t"/>
        </w:pict>
      </w:r>
    </w:p>
    <w:bookmarkEnd w:id="28"/>
    <w:bookmarkEnd w:id="29"/>
    <w:bookmarkStart w:id="37" w:name="step-2-3-map-lifecycle-collect-data"/>
    <w:p>
      <w:pPr>
        <w:pStyle w:val="Heading2"/>
      </w:pPr>
      <w:r>
        <w:t xml:space="preserve">4. Step 2 &amp; 3: Map Lifecycle &amp; Collect Data</w:t>
      </w:r>
    </w:p>
    <w:p>
      <w:pPr>
        <w:pStyle w:val="FirstParagraph"/>
      </w:pPr>
      <w:r>
        <w:t xml:space="preserve">The lifecycle of krozgquizp is mapped across several stages, and data is collected for each. Primary data for the Bill of Materials, production energy, transport, use phase, and end-of-life scenarios have been provided as parameters. Secondary data, primarily industry-standard emission factors (e.g., from Ecoinvent and DEFRA), are used to quantify emissions where primary data for specific processes or material origins are not available.</w:t>
      </w:r>
    </w:p>
    <w:bookmarkStart w:id="31" w:name="Xff31e690bfe279af69cf88b9219fe5d56042afb"/>
    <w:p>
      <w:pPr>
        <w:pStyle w:val="Heading3"/>
      </w:pPr>
      <w:r>
        <w:t xml:space="preserve">4.1. Raw Material Acquisition &amp; Pre-processing (Scope 3 - Upstream)</w:t>
      </w:r>
    </w:p>
    <w:p>
      <w:pPr>
        <w:pStyle w:val="FirstParagraph"/>
      </w:pPr>
      <w:r>
        <w:t xml:space="preserve">The Detailed Bill of Materials (BOM) for sintydqm is crucial for high-accuracy material impact calculation. The table below represents the material inputs for one unit of krozgquizp, including their specific emission factors and total carbon impact as provided.</w:t>
      </w:r>
    </w:p>
    <w:bookmarkStart w:id="30" w:name="Xce4bf3799d0bb26c41c395dc47c024a3d56d1cf"/>
    <w:p>
      <w:pPr>
        <w:pStyle w:val="Heading4"/>
      </w:pPr>
      <w:r>
        <w:t xml:space="preserve">Detailed Bill of Materials (BOM) for sintydqm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Recycled ABS Plastic</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2.50</w:t>
            </w:r>
          </w:p>
        </w:tc>
        <w:tc>
          <w:tcPr/>
          <w:p>
            <w:pPr>
              <w:pStyle w:val="Compact"/>
              <w:jc w:val="left"/>
            </w:pPr>
            <w:r>
              <w:t xml:space="preserve">2.00</w:t>
            </w:r>
          </w:p>
        </w:tc>
      </w:tr>
      <w:tr>
        <w:tc>
          <w:tcPr/>
          <w:p>
            <w:pPr>
              <w:pStyle w:val="Compact"/>
              <w:jc w:val="left"/>
            </w:pPr>
            <w:r>
              <w:t xml:space="preserve">M002</w:t>
            </w:r>
          </w:p>
        </w:tc>
        <w:tc>
          <w:tcPr/>
          <w:p>
            <w:pPr>
              <w:pStyle w:val="Compact"/>
              <w:jc w:val="left"/>
            </w:pPr>
            <w:r>
              <w:t xml:space="preserve">Aluminum Alloy (recycled content)</w:t>
            </w:r>
          </w:p>
        </w:tc>
        <w:tc>
          <w:tcPr/>
          <w:p>
            <w:pPr>
              <w:pStyle w:val="Compact"/>
              <w:jc w:val="left"/>
            </w:pPr>
            <w:r>
              <w:t xml:space="preserve">Metals</w:t>
            </w:r>
          </w:p>
        </w:tc>
        <w:tc>
          <w:tcPr/>
          <w:p>
            <w:pPr>
              <w:pStyle w:val="Compact"/>
              <w:jc w:val="left"/>
            </w:pPr>
            <w:r>
              <w:t xml:space="preserve">Die Casting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3.50</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50.00</w:t>
            </w:r>
          </w:p>
        </w:tc>
        <w:tc>
          <w:tcPr/>
          <w:p>
            <w:pPr>
              <w:pStyle w:val="Compact"/>
              <w:jc w:val="left"/>
            </w:pPr>
            <w:r>
              <w:t xml:space="preserve">2.50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4.00</w:t>
            </w:r>
          </w:p>
        </w:tc>
        <w:tc>
          <w:tcPr/>
          <w:p>
            <w:pPr>
              <w:pStyle w:val="Compact"/>
              <w:jc w:val="left"/>
            </w:pPr>
            <w:r>
              <w:t xml:space="preserve">0.40</w:t>
            </w:r>
          </w:p>
        </w:tc>
      </w:tr>
      <w:tr>
        <w:tc>
          <w:tcPr/>
          <w:p>
            <w:pPr>
              <w:pStyle w:val="Compact"/>
              <w:jc w:val="left"/>
            </w:pPr>
            <w:r>
              <w:t xml:space="preserve">M005</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0.75</w:t>
            </w:r>
          </w:p>
        </w:tc>
        <w:tc>
          <w:tcPr/>
          <w:p>
            <w:pPr>
              <w:pStyle w:val="Compact"/>
              <w:jc w:val="left"/>
            </w:pPr>
            <w:r>
              <w:t xml:space="preserve">0.15</w:t>
            </w:r>
          </w:p>
        </w:tc>
      </w:tr>
    </w:tbl>
    <w:p>
      <w:pPr>
        <w:pStyle w:val="BodyText"/>
      </w:pPr>
      <w:r>
        <w:t xml:space="preserve">Total Material Emissions (from BOM):</w:t>
      </w:r>
      <w:r>
        <w:t xml:space="preserve"> </w:t>
      </w:r>
      <w:r>
        <w:rPr>
          <w:bCs/>
          <w:b/>
        </w:rPr>
        <w:t xml:space="preserve">6.10 kg CO2e</w:t>
      </w:r>
    </w:p>
    <w:bookmarkEnd w:id="30"/>
    <w:bookmarkEnd w:id="31"/>
    <w:bookmarkStart w:id="32" w:name="manufacturingproduction-scope-1-2"/>
    <w:p>
      <w:pPr>
        <w:pStyle w:val="Heading3"/>
      </w:pPr>
      <w:r>
        <w:t xml:space="preserve">4.2. Manufacturing/Production (Scope 1, 2)</w:t>
      </w:r>
    </w:p>
    <w:p>
      <w:pPr>
        <w:pStyle w:val="FirstParagraph"/>
      </w:pPr>
      <w:r>
        <w:t xml:space="preserve">The production process for krozgquizp occurs in China. Energy consumption and renewable energy usage are critical inputs for calculating emissions in this phase.</w:t>
      </w:r>
    </w:p>
    <w:p>
      <w:pPr>
        <w:numPr>
          <w:ilvl w:val="0"/>
          <w:numId w:val="1003"/>
        </w:numPr>
        <w:pStyle w:val="Compact"/>
      </w:pPr>
      <w:r>
        <w:rPr>
          <w:bCs/>
          <w:b/>
        </w:rPr>
        <w:t xml:space="preserve">Energy Intensity (kWh/unit):</w:t>
      </w:r>
      <w:r>
        <w:t xml:space="preserve"> </w:t>
      </w:r>
      <w:r>
        <w:t xml:space="preserve">ysjxwnfith (e.g., 2.5 kWh/unit)</w:t>
      </w:r>
    </w:p>
    <w:p>
      <w:pPr>
        <w:numPr>
          <w:ilvl w:val="0"/>
          <w:numId w:val="1003"/>
        </w:numPr>
        <w:pStyle w:val="Compact"/>
      </w:pPr>
      <w:r>
        <w:rPr>
          <w:bCs/>
          <w:b/>
        </w:rPr>
        <w:t xml:space="preserve">Renewable Energy Usage:</w:t>
      </w:r>
      <w:r>
        <w:t xml:space="preserve"> </w:t>
      </w:r>
      <w:r>
        <w:t xml:space="preserve">poklqlwtpg (e.g., 50%)</w:t>
      </w:r>
    </w:p>
    <w:p>
      <w:pPr>
        <w:pStyle w:val="FirstParagraph"/>
      </w:pPr>
      <w:r>
        <w:t xml:space="preserve">Assumed grid emission factor for China (average mix): 0.65 kg CO2e/kWh (secondary data).</w:t>
      </w:r>
    </w:p>
    <w:bookmarkEnd w:id="32"/>
    <w:bookmarkStart w:id="33" w:name="Xefc720a222f8bd52cb270ebefcc64f92d2decd2"/>
    <w:p>
      <w:pPr>
        <w:pStyle w:val="Heading3"/>
      </w:pPr>
      <w:r>
        <w:t xml:space="preserve">4.3. Transport to Factory (Scope 3 - Upstream T&amp;D)</w:t>
      </w:r>
    </w:p>
    <w:p>
      <w:pPr>
        <w:pStyle w:val="FirstParagraph"/>
      </w:pPr>
      <w:r>
        <w:t xml:space="preserve">Logistics data for transporting materials to the factory is incorporated:</w:t>
      </w:r>
    </w:p>
    <w:p>
      <w:pPr>
        <w:numPr>
          <w:ilvl w:val="0"/>
          <w:numId w:val="1004"/>
        </w:numPr>
        <w:pStyle w:val="Compact"/>
      </w:pPr>
      <w:r>
        <w:rPr>
          <w:bCs/>
          <w:b/>
        </w:rPr>
        <w:t xml:space="preserve">Primary Transport Mode:</w:t>
      </w:r>
      <w:r>
        <w:t xml:space="preserve"> </w:t>
      </w:r>
      <w:r>
        <w:t xml:space="preserve">Select Mode (e.g., Road freight, HGV &gt; 3.5t, Euro VI)</w:t>
      </w:r>
    </w:p>
    <w:p>
      <w:pPr>
        <w:numPr>
          <w:ilvl w:val="0"/>
          <w:numId w:val="1004"/>
        </w:numPr>
        <w:pStyle w:val="Compact"/>
      </w:pPr>
      <w:r>
        <w:rPr>
          <w:bCs/>
          <w:b/>
        </w:rPr>
        <w:t xml:space="preserve">Transport Distance:</w:t>
      </w:r>
      <w:r>
        <w:t xml:space="preserve"> </w:t>
      </w:r>
      <w:r>
        <w:t xml:space="preserve">wvqmzzwmlt (e.g., 1500 km)</w:t>
      </w:r>
    </w:p>
    <w:p>
      <w:pPr>
        <w:pStyle w:val="FirstParagraph"/>
      </w:pPr>
      <w:r>
        <w:t xml:space="preserve">Assumed emission factor for Road freight (HGV &gt; 3.5t, Euro VI, average load, diesel, Europe): 0.08 kg CO2e/tonne-km (secondary data, based on DEFRA).</w:t>
      </w:r>
    </w:p>
    <w:p>
      <w:pPr>
        <w:pStyle w:val="BodyText"/>
      </w:pPr>
      <w:r>
        <w:t xml:space="preserve">Assuming average material weight per unit of krozgquizp (from BOM) is 1.45 kg (0.8+0.3+0.05+0.1+0.2). For transport calculations, we assume a total shipment mass including packaging is 1.5 kg per unit.</w:t>
      </w:r>
    </w:p>
    <w:bookmarkEnd w:id="33"/>
    <w:bookmarkStart w:id="34" w:name="X1b37d2a7e07b0b9055bbc216045609e77aae5c3"/>
    <w:p>
      <w:pPr>
        <w:pStyle w:val="Heading3"/>
      </w:pPr>
      <w:r>
        <w:t xml:space="preserve">4.4. Transport to Customer / Last-Mile Delivery Channel (Scope 3 - Downstream T&amp;D)</w:t>
      </w:r>
    </w:p>
    <w:p>
      <w:pPr>
        <w:pStyle w:val="FirstParagraph"/>
      </w:pPr>
      <w:r>
        <w:t xml:space="preserve">The final delivery stage to the customer is also included:</w:t>
      </w:r>
    </w:p>
    <w:p>
      <w:pPr>
        <w:numPr>
          <w:ilvl w:val="0"/>
          <w:numId w:val="1005"/>
        </w:numPr>
        <w:pStyle w:val="Compact"/>
      </w:pPr>
      <w:r>
        <w:rPr>
          <w:bCs/>
          <w:b/>
        </w:rPr>
        <w:t xml:space="preserve">Last-Mile Delivery Channel:</w:t>
      </w:r>
      <w:r>
        <w:t xml:space="preserve"> </w:t>
      </w:r>
      <w:r>
        <w:t xml:space="preserve">Delivery Type (e.g., Light Commercial Vehicle (LCV))</w:t>
      </w:r>
    </w:p>
    <w:p>
      <w:pPr>
        <w:numPr>
          <w:ilvl w:val="0"/>
          <w:numId w:val="1005"/>
        </w:numPr>
        <w:pStyle w:val="Compact"/>
      </w:pPr>
      <w:r>
        <w:rPr>
          <w:bCs/>
          <w:b/>
        </w:rPr>
        <w:t xml:space="preserve">Estimated Last-Mile Distance:</w:t>
      </w:r>
      <w:r>
        <w:t xml:space="preserve"> </w:t>
      </w:r>
      <w:r>
        <w:t xml:space="preserve">Assuming an average of 100 km for last-mile delivery.</w:t>
      </w:r>
    </w:p>
    <w:p>
      <w:pPr>
        <w:pStyle w:val="FirstParagraph"/>
      </w:pPr>
      <w:r>
        <w:t xml:space="preserve">Assumed emission factor for Light Commercial Vehicle (LCV, diesel, average load, Europe): 0.20 kg CO2e/vehicle-km. For product-level, assuming 10 units per LCV trip average: 0.02 kg CO2e/product-km.</w:t>
      </w:r>
    </w:p>
    <w:bookmarkEnd w:id="34"/>
    <w:bookmarkStart w:id="35" w:name="use-phase-scope-3---use-of-sold-products"/>
    <w:p>
      <w:pPr>
        <w:pStyle w:val="Heading3"/>
      </w:pPr>
      <w:r>
        <w:t xml:space="preserve">4.5. Use Phase (Scope 3 - Use of Sold Products)</w:t>
      </w:r>
    </w:p>
    <w:p>
      <w:pPr>
        <w:pStyle w:val="FirstParagraph"/>
      </w:pPr>
      <w:r>
        <w:t xml:space="preserve">The energy consumption during the product\'s lifespan is a significant factor.</w:t>
      </w:r>
    </w:p>
    <w:p>
      <w:pPr>
        <w:numPr>
          <w:ilvl w:val="0"/>
          <w:numId w:val="1006"/>
        </w:numPr>
        <w:pStyle w:val="Compact"/>
      </w:pPr>
      <w:r>
        <w:rPr>
          <w:bCs/>
          <w:b/>
        </w:rPr>
        <w:t xml:space="preserve">Product Lifespan:</w:t>
      </w:r>
      <w:r>
        <w:t xml:space="preserve"> </w:t>
      </w:r>
      <w:r>
        <w:t xml:space="preserve">rgpdefvkly (e.g., 5 years)</w:t>
      </w:r>
    </w:p>
    <w:p>
      <w:pPr>
        <w:numPr>
          <w:ilvl w:val="0"/>
          <w:numId w:val="1006"/>
        </w:numPr>
        <w:pStyle w:val="Compact"/>
      </w:pPr>
      <w:r>
        <w:rPr>
          <w:bCs/>
          <w:b/>
        </w:rPr>
        <w:t xml:space="preserve">Energy Consumption in Use:</w:t>
      </w:r>
      <w:r>
        <w:t xml:space="preserve"> </w:t>
      </w:r>
      <w:r>
        <w:t xml:space="preserve">fxdzwvpvpe (e.g., 0.1 kWh/day)</w:t>
      </w:r>
    </w:p>
    <w:p>
      <w:pPr>
        <w:pStyle w:val="FirstParagraph"/>
      </w:pPr>
      <w:r>
        <w:t xml:space="preserve">Assuming end-user electricity mix is largely non-renewable: 0.5 kg CO2e/kWh (representative of average global mix for consumer use).</w:t>
      </w:r>
    </w:p>
    <w:bookmarkEnd w:id="35"/>
    <w:bookmarkStart w:id="36" w:name="X14cf648ade3d256656b5951e31a7b104cdb4a5c"/>
    <w:p>
      <w:pPr>
        <w:pStyle w:val="Heading3"/>
      </w:pPr>
      <w:r>
        <w:t xml:space="preserve">4.6. End-of-Life (EoL) Scenarios (Scope 3 - EoL Treatment of Sold Products)</w:t>
      </w:r>
    </w:p>
    <w:p>
      <w:pPr>
        <w:pStyle w:val="FirstParagraph"/>
      </w:pPr>
      <w:r>
        <w:t xml:space="preserve">Circular economy impacts are incorporated through recyclability and take-back programs.</w:t>
      </w:r>
    </w:p>
    <w:p>
      <w:pPr>
        <w:numPr>
          <w:ilvl w:val="0"/>
          <w:numId w:val="1007"/>
        </w:numPr>
        <w:pStyle w:val="Compact"/>
      </w:pPr>
      <w:r>
        <w:rPr>
          <w:bCs/>
          <w:b/>
        </w:rPr>
        <w:t xml:space="preserve">Recyclability Percentage:</w:t>
      </w:r>
      <w:r>
        <w:t xml:space="preserve"> </w:t>
      </w:r>
      <w:r>
        <w:t xml:space="preserve">fixsdktfou (e.g., 70%)</w:t>
      </w:r>
    </w:p>
    <w:p>
      <w:pPr>
        <w:numPr>
          <w:ilvl w:val="0"/>
          <w:numId w:val="1007"/>
        </w:numPr>
        <w:pStyle w:val="Compact"/>
      </w:pPr>
      <w:r>
        <w:rPr>
          <w:bCs/>
          <w:b/>
        </w:rPr>
        <w:t xml:space="preserve">Circular/Take-back Programs:</w:t>
      </w:r>
      <w:r>
        <w:t xml:space="preserve"> </w:t>
      </w:r>
      <w:r>
        <w:t xml:space="preserve">luufqejqiu (e.g., thdkymdjjx Product Take-back Program)</w:t>
      </w:r>
    </w:p>
    <w:p>
      <w:pPr>
        <w:pStyle w:val="FirstParagraph"/>
      </w:pPr>
      <w:r>
        <w:t xml:space="preserve">Assumed avoided emissions factor for recycling (e.g., plastics, metals): -1.5 kg CO2e/kg (for recycled content avoiding virgin production).</w:t>
      </w:r>
      <w:r>
        <w:t xml:space="preserve"> </w:t>
      </w:r>
      <w:r>
        <w:t xml:space="preserve">Assumed disposal emission factor (landfill/incineration for non-recycled part): 1.0 kg CO2e/kg.</w:t>
      </w:r>
    </w:p>
    <w:p>
      <w:r>
        <w:pict>
          <v:rect style="width:0;height:1.5pt" o:hralign="center" o:hrstd="t" o:hr="t"/>
        </w:pict>
      </w:r>
    </w:p>
    <w:bookmarkEnd w:id="36"/>
    <w:bookmarkEnd w:id="37"/>
    <w:bookmarkStart w:id="48" w:name="step-4-calculate-emissions"/>
    <w:p>
      <w:pPr>
        <w:pStyle w:val="Heading2"/>
      </w:pPr>
      <w:r>
        <w:t xml:space="preserve">5. Step 4: Calculate Emissions</w:t>
      </w:r>
    </w:p>
    <w:p>
      <w:pPr>
        <w:pStyle w:val="FirstParagraph"/>
      </w:pPr>
      <w:r>
        <w:t xml:space="preserve">Emissions are calculated for each life cycle stage and categorized by GHG Protocol scopes. All calculations are in CO2e.</w:t>
      </w:r>
    </w:p>
    <w:bookmarkStart w:id="38" w:name="scope-1-direct-ghg-emissions-on-site"/>
    <w:p>
      <w:pPr>
        <w:pStyle w:val="Heading3"/>
      </w:pPr>
      <w:r>
        <w:t xml:space="preserve">5.1. Scope 1: Direct GHG Emissions (On-site)</w:t>
      </w:r>
    </w:p>
    <w:p>
      <w:pPr>
        <w:pStyle w:val="FirstParagraph"/>
      </w:pPr>
      <w:r>
        <w:t xml:space="preserve">For this product-level analysis, direct Scope 1 emissions from the manufacturing facility (e.g., on-site fuel combustion, process emissions not related to electricity generation) are assumed to be negligible per functional unit or are integrated into general utility consumption accounted for in Scope 2 and 3 where they fall under purchased services. If thdkymdjjx had significant direct emissions from owned/controlled sources for the production of krozgquizp, these would be quantified here.</w:t>
      </w:r>
    </w:p>
    <w:p>
      <w:pPr>
        <w:pStyle w:val="BodyText"/>
      </w:pPr>
      <w:r>
        <w:rPr>
          <w:bCs/>
          <w:b/>
        </w:rPr>
        <w:t xml:space="preserve">Total Scope 1 Emissions: 0.00 kg CO2e</w:t>
      </w:r>
    </w:p>
    <w:bookmarkEnd w:id="38"/>
    <w:bookmarkStart w:id="39" w:name="X6b01387f66089f799ff28a4888a18f676ee9f32"/>
    <w:p>
      <w:pPr>
        <w:pStyle w:val="Heading3"/>
      </w:pPr>
      <w:r>
        <w:t xml:space="preserve">5.2. Scope 2: Indirect GHG Emissions from Purchased Energy</w:t>
      </w:r>
    </w:p>
    <w:p>
      <w:pPr>
        <w:pStyle w:val="FirstParagraph"/>
      </w:pPr>
      <w:r>
        <w:t xml:space="preserve">This covers emissions from purchased electricity for the manufacturing process in China.</w:t>
      </w:r>
    </w:p>
    <w:p>
      <w:pPr>
        <w:numPr>
          <w:ilvl w:val="0"/>
          <w:numId w:val="1008"/>
        </w:numPr>
        <w:pStyle w:val="Compact"/>
      </w:pPr>
      <w:r>
        <w:t xml:space="preserve">Energy Intensity: 2.5 kWh/unit</w:t>
      </w:r>
    </w:p>
    <w:p>
      <w:pPr>
        <w:numPr>
          <w:ilvl w:val="0"/>
          <w:numId w:val="1008"/>
        </w:numPr>
        <w:pStyle w:val="Compact"/>
      </w:pPr>
      <w:r>
        <w:t xml:space="preserve">Renewable Energy Usage: 50%</w:t>
      </w:r>
    </w:p>
    <w:p>
      <w:pPr>
        <w:numPr>
          <w:ilvl w:val="0"/>
          <w:numId w:val="1008"/>
        </w:numPr>
        <w:pStyle w:val="Compact"/>
      </w:pPr>
      <w:r>
        <w:t xml:space="preserve">Non-Renewable Energy Usage: 50%</w:t>
      </w:r>
    </w:p>
    <w:p>
      <w:pPr>
        <w:numPr>
          <w:ilvl w:val="0"/>
          <w:numId w:val="1008"/>
        </w:numPr>
        <w:pStyle w:val="Compact"/>
      </w:pPr>
      <w:r>
        <w:t xml:space="preserve">China Grid Emission Factor: 0.65 kg CO2e/kWh</w:t>
      </w:r>
    </w:p>
    <w:p>
      <w:pPr>
        <w:pStyle w:val="FirstParagraph"/>
      </w:pPr>
      <w:r>
        <w:t xml:space="preserve">Calculation:</w:t>
      </w:r>
    </w:p>
    <w:p>
      <w:pPr>
        <w:numPr>
          <w:ilvl w:val="0"/>
          <w:numId w:val="1009"/>
        </w:numPr>
        <w:pStyle w:val="Compact"/>
      </w:pPr>
      <w:r>
        <w:t xml:space="preserve">Non-renewable electricity: 2.5 kWh/unit * 50% = 1.25 kWh/unit</w:t>
      </w:r>
    </w:p>
    <w:p>
      <w:pPr>
        <w:numPr>
          <w:ilvl w:val="0"/>
          <w:numId w:val="1009"/>
        </w:numPr>
        <w:pStyle w:val="Compact"/>
      </w:pPr>
      <w:r>
        <w:t xml:space="preserve">Scope 2 Emissions = 1.25 kWh/unit * 0.65 kg CO2e/kWh = 0.8125 kg CO2e</w:t>
      </w:r>
    </w:p>
    <w:p>
      <w:pPr>
        <w:pStyle w:val="FirstParagraph"/>
      </w:pPr>
      <w:r>
        <w:rPr>
          <w:bCs/>
          <w:b/>
        </w:rPr>
        <w:t xml:space="preserve">Total Scope 2 Emissions: 0.81 kg CO2e</w:t>
      </w:r>
    </w:p>
    <w:bookmarkEnd w:id="39"/>
    <w:bookmarkStart w:id="46" w:name="Xd1c2b652bc5876514f180a21f002993b8de8e83"/>
    <w:p>
      <w:pPr>
        <w:pStyle w:val="Heading3"/>
      </w:pPr>
      <w:r>
        <w:t xml:space="preserve">5.3. Scope 3: Other Indirect Emissions (Value Chain)</w:t>
      </w:r>
    </w:p>
    <w:p>
      <w:pPr>
        <w:pStyle w:val="FirstParagraph"/>
      </w:pPr>
      <w:r>
        <w:t xml:space="preserve">Scope 3 emissions are typically the largest portion of a product\'s carbon footprint and are broken down into relevant categories.</w:t>
      </w:r>
    </w:p>
    <w:bookmarkStart w:id="40" w:name="Xe24919c85d1b499ff7717d5369536b1c2dbb8f9"/>
    <w:p>
      <w:pPr>
        <w:pStyle w:val="Heading4"/>
      </w:pPr>
      <w:r>
        <w:t xml:space="preserve">5.3.1. Category 1: Purchased Goods &amp; Services (Materials)</w:t>
      </w:r>
    </w:p>
    <w:p>
      <w:pPr>
        <w:pStyle w:val="FirstParagraph"/>
      </w:pPr>
      <w:r>
        <w:t xml:space="preserve">These are the emissions associated with the extraction, production, and pre-processing of all raw materials and components in the Detailed Bill of Materials (BOM).</w:t>
      </w:r>
    </w:p>
    <w:p>
      <w:pPr>
        <w:numPr>
          <w:ilvl w:val="0"/>
          <w:numId w:val="1010"/>
        </w:numPr>
        <w:pStyle w:val="Compact"/>
      </w:pPr>
      <w:r>
        <w:t xml:space="preserve">Calculated directly from the BOM: 6.10 kg CO2e</w:t>
      </w:r>
    </w:p>
    <w:p>
      <w:pPr>
        <w:pStyle w:val="FirstParagraph"/>
      </w:pPr>
      <w:r>
        <w:rPr>
          <w:bCs/>
          <w:b/>
        </w:rPr>
        <w:t xml:space="preserve">Subtotal Scope 3 - Category 1: 6.10 kg CO2e</w:t>
      </w:r>
    </w:p>
    <w:bookmarkEnd w:id="40"/>
    <w:bookmarkStart w:id="41" w:name="Xe17c8a5d2938de6f7f5f14adfed6399b61c93ad"/>
    <w:p>
      <w:pPr>
        <w:pStyle w:val="Heading4"/>
      </w:pPr>
      <w:r>
        <w:t xml:space="preserve">5.3.2. Category 4: Upstream Transportation &amp; Distribution (to factory)</w:t>
      </w:r>
    </w:p>
    <w:p>
      <w:pPr>
        <w:pStyle w:val="FirstParagraph"/>
      </w:pPr>
      <w:r>
        <w:t xml:space="preserve">Emissions from transporting materials to the thdkymdjjx manufacturing facility in China (Europe Focused supply chain).</w:t>
      </w:r>
    </w:p>
    <w:p>
      <w:pPr>
        <w:numPr>
          <w:ilvl w:val="0"/>
          <w:numId w:val="1011"/>
        </w:numPr>
        <w:pStyle w:val="Compact"/>
      </w:pPr>
      <w:r>
        <w:t xml:space="preserve">Material Weight per unit (including packaging): 1.5 kg</w:t>
      </w:r>
    </w:p>
    <w:p>
      <w:pPr>
        <w:numPr>
          <w:ilvl w:val="0"/>
          <w:numId w:val="1011"/>
        </w:numPr>
        <w:pStyle w:val="Compact"/>
      </w:pPr>
      <w:r>
        <w:t xml:space="preserve">Transport Distance: 1500 km</w:t>
      </w:r>
    </w:p>
    <w:p>
      <w:pPr>
        <w:numPr>
          <w:ilvl w:val="0"/>
          <w:numId w:val="1011"/>
        </w:numPr>
        <w:pStyle w:val="Compact"/>
      </w:pPr>
      <w:r>
        <w:t xml:space="preserve">Emission Factor (Road freight HGV): 0.08 kg CO2e/tonne-km = 0.00008 kg CO2e/kg-km</w:t>
      </w:r>
    </w:p>
    <w:p>
      <w:pPr>
        <w:pStyle w:val="FirstParagraph"/>
      </w:pPr>
      <w:r>
        <w:t xml:space="preserve">Calculation:</w:t>
      </w:r>
    </w:p>
    <w:p>
      <w:pPr>
        <w:numPr>
          <w:ilvl w:val="0"/>
          <w:numId w:val="1012"/>
        </w:numPr>
        <w:pStyle w:val="Compact"/>
      </w:pPr>
      <w:r>
        <w:t xml:space="preserve">Scope 3 (Upstream Transport) = 1.5 kg * 1500 km * 0.00008 kg CO2e/kg-km = 0.18 kg CO2e</w:t>
      </w:r>
    </w:p>
    <w:p>
      <w:pPr>
        <w:pStyle w:val="FirstParagraph"/>
      </w:pPr>
      <w:r>
        <w:rPr>
          <w:bCs/>
          <w:b/>
        </w:rPr>
        <w:t xml:space="preserve">Subtotal Scope 3 - Category 4: 0.18 kg CO2e</w:t>
      </w:r>
    </w:p>
    <w:bookmarkEnd w:id="41"/>
    <w:bookmarkStart w:id="42" w:name="Xa89ffcd5ca592b9aea69d74eb6dd175f556fa1a"/>
    <w:p>
      <w:pPr>
        <w:pStyle w:val="Heading4"/>
      </w:pPr>
      <w:r>
        <w:t xml:space="preserve">5.3.3. Category 9: Downstream Transportation &amp; Distribution (Last-Mile Delivery)</w:t>
      </w:r>
    </w:p>
    <w:p>
      <w:pPr>
        <w:pStyle w:val="FirstParagraph"/>
      </w:pPr>
      <w:r>
        <w:t xml:space="preserve">Emissions from delivering the finished product to the end-user.</w:t>
      </w:r>
    </w:p>
    <w:p>
      <w:pPr>
        <w:numPr>
          <w:ilvl w:val="0"/>
          <w:numId w:val="1013"/>
        </w:numPr>
        <w:pStyle w:val="Compact"/>
      </w:pPr>
      <w:r>
        <w:t xml:space="preserve">Estimated Last-Mile Distance: 100 km</w:t>
      </w:r>
    </w:p>
    <w:p>
      <w:pPr>
        <w:numPr>
          <w:ilvl w:val="0"/>
          <w:numId w:val="1013"/>
        </w:numPr>
        <w:pStyle w:val="Compact"/>
      </w:pPr>
      <w:r>
        <w:t xml:space="preserve">Emission Factor (LCV per product-km): 0.02 kg CO2e/product-km</w:t>
      </w:r>
    </w:p>
    <w:p>
      <w:pPr>
        <w:pStyle w:val="FirstParagraph"/>
      </w:pPr>
      <w:r>
        <w:t xml:space="preserve">Calculation:</w:t>
      </w:r>
    </w:p>
    <w:p>
      <w:pPr>
        <w:numPr>
          <w:ilvl w:val="0"/>
          <w:numId w:val="1014"/>
        </w:numPr>
        <w:pStyle w:val="Compact"/>
      </w:pPr>
      <w:r>
        <w:t xml:space="preserve">Scope 3 (Downstream Transport) = 100 km * 0.02 kg CO2e/product-km = 2.00 kg CO2e</w:t>
      </w:r>
    </w:p>
    <w:p>
      <w:pPr>
        <w:pStyle w:val="FirstParagraph"/>
      </w:pPr>
      <w:r>
        <w:rPr>
          <w:bCs/>
          <w:b/>
        </w:rPr>
        <w:t xml:space="preserve">Subtotal Scope 3 - Category 9: 2.00 kg CO2e</w:t>
      </w:r>
    </w:p>
    <w:bookmarkEnd w:id="42"/>
    <w:bookmarkStart w:id="43" w:name="category-11-use-of-sold-products"/>
    <w:p>
      <w:pPr>
        <w:pStyle w:val="Heading4"/>
      </w:pPr>
      <w:r>
        <w:t xml:space="preserve">5.3.4. Category 11: Use of Sold Products</w:t>
      </w:r>
    </w:p>
    <w:p>
      <w:pPr>
        <w:pStyle w:val="FirstParagraph"/>
      </w:pPr>
      <w:r>
        <w:t xml:space="preserve">Emissions generated during the product\'s use phase over its lifespan.</w:t>
      </w:r>
    </w:p>
    <w:p>
      <w:pPr>
        <w:numPr>
          <w:ilvl w:val="0"/>
          <w:numId w:val="1015"/>
        </w:numPr>
        <w:pStyle w:val="Compact"/>
      </w:pPr>
      <w:r>
        <w:t xml:space="preserve">Product Lifespan: 5 years</w:t>
      </w:r>
    </w:p>
    <w:p>
      <w:pPr>
        <w:numPr>
          <w:ilvl w:val="0"/>
          <w:numId w:val="1015"/>
        </w:numPr>
        <w:pStyle w:val="Compact"/>
      </w:pPr>
      <w:r>
        <w:t xml:space="preserve">Energy Consumption in Use: 0.1 kWh/day</w:t>
      </w:r>
    </w:p>
    <w:p>
      <w:pPr>
        <w:numPr>
          <w:ilvl w:val="0"/>
          <w:numId w:val="1015"/>
        </w:numPr>
        <w:pStyle w:val="Compact"/>
      </w:pPr>
      <w:r>
        <w:t xml:space="preserve">Total days in lifespan: 5 years * 365 days/year = 1825 days</w:t>
      </w:r>
    </w:p>
    <w:p>
      <w:pPr>
        <w:numPr>
          <w:ilvl w:val="0"/>
          <w:numId w:val="1015"/>
        </w:numPr>
        <w:pStyle w:val="Compact"/>
      </w:pPr>
      <w:r>
        <w:t xml:space="preserve">Total energy consumption: 1825 days * 0.1 kWh/day = 182.5 kWh</w:t>
      </w:r>
    </w:p>
    <w:p>
      <w:pPr>
        <w:numPr>
          <w:ilvl w:val="0"/>
          <w:numId w:val="1015"/>
        </w:numPr>
        <w:pStyle w:val="Compact"/>
      </w:pPr>
      <w:r>
        <w:t xml:space="preserve">End-user Electricity Emission Factor: 0.5 kg CO2e/kWh</w:t>
      </w:r>
    </w:p>
    <w:p>
      <w:pPr>
        <w:pStyle w:val="FirstParagraph"/>
      </w:pPr>
      <w:r>
        <w:t xml:space="preserve">Calculation:</w:t>
      </w:r>
    </w:p>
    <w:p>
      <w:pPr>
        <w:numPr>
          <w:ilvl w:val="0"/>
          <w:numId w:val="1016"/>
        </w:numPr>
        <w:pStyle w:val="Compact"/>
      </w:pPr>
      <w:r>
        <w:t xml:space="preserve">Scope 3 (Use Phase) = 182.5 kWh * 0.5 kg CO2e/kWh = 91.25 kg CO2e</w:t>
      </w:r>
    </w:p>
    <w:p>
      <w:pPr>
        <w:pStyle w:val="FirstParagraph"/>
      </w:pPr>
      <w:r>
        <w:rPr>
          <w:bCs/>
          <w:b/>
        </w:rPr>
        <w:t xml:space="preserve">Subtotal Scope 3 - Category 11: 91.25 kg CO2e</w:t>
      </w:r>
    </w:p>
    <w:bookmarkEnd w:id="43"/>
    <w:bookmarkStart w:id="44" w:name="X9f66eef2700632e081dfe139021cb724ffcd2c5"/>
    <w:p>
      <w:pPr>
        <w:pStyle w:val="Heading4"/>
      </w:pPr>
      <w:r>
        <w:t xml:space="preserve">5.3.5. Category 12: End-of-Life Treatment of Sold Products</w:t>
      </w:r>
    </w:p>
    <w:p>
      <w:pPr>
        <w:pStyle w:val="FirstParagraph"/>
      </w:pPr>
      <w:r>
        <w:t xml:space="preserve">Emissions (and avoided emissions) related to the disposal and recycling of the product.</w:t>
      </w:r>
    </w:p>
    <w:p>
      <w:pPr>
        <w:numPr>
          <w:ilvl w:val="0"/>
          <w:numId w:val="1017"/>
        </w:numPr>
        <w:pStyle w:val="Compact"/>
      </w:pPr>
      <w:r>
        <w:t xml:space="preserve">Total Product Mass (from BOM, excluding packaging for EoL): 1.25 kg (0.8 kg plastic + 0.3 kg aluminum + 0.05 kg PCB + 0.1 kg copper)</w:t>
      </w:r>
    </w:p>
    <w:p>
      <w:pPr>
        <w:numPr>
          <w:ilvl w:val="0"/>
          <w:numId w:val="1017"/>
        </w:numPr>
        <w:pStyle w:val="Compact"/>
      </w:pPr>
      <w:r>
        <w:t xml:space="preserve">Recyclability Percentage: 70%</w:t>
      </w:r>
    </w:p>
    <w:p>
      <w:pPr>
        <w:numPr>
          <w:ilvl w:val="0"/>
          <w:numId w:val="1017"/>
        </w:numPr>
        <w:pStyle w:val="Compact"/>
      </w:pPr>
      <w:r>
        <w:t xml:space="preserve">Non-Recycled Percentage (disposed): 30%</w:t>
      </w:r>
    </w:p>
    <w:p>
      <w:pPr>
        <w:numPr>
          <w:ilvl w:val="0"/>
          <w:numId w:val="1017"/>
        </w:numPr>
        <w:pStyle w:val="Compact"/>
      </w:pPr>
      <w:r>
        <w:t xml:space="preserve">Avoided Emissions Factor (recycling): -1.5 kg CO2e/kg</w:t>
      </w:r>
    </w:p>
    <w:p>
      <w:pPr>
        <w:numPr>
          <w:ilvl w:val="0"/>
          <w:numId w:val="1017"/>
        </w:numPr>
        <w:pStyle w:val="Compact"/>
      </w:pPr>
      <w:r>
        <w:t xml:space="preserve">Disposal Emission Factor: 1.0 kg CO2e/kg</w:t>
      </w:r>
    </w:p>
    <w:p>
      <w:pPr>
        <w:pStyle w:val="FirstParagraph"/>
      </w:pPr>
      <w:r>
        <w:t xml:space="preserve">Calculation:</w:t>
      </w:r>
    </w:p>
    <w:p>
      <w:pPr>
        <w:numPr>
          <w:ilvl w:val="0"/>
          <w:numId w:val="1018"/>
        </w:numPr>
        <w:pStyle w:val="Compact"/>
      </w:pPr>
      <w:r>
        <w:t xml:space="preserve">Mass Recycled: 1.25 kg * 70% = 0.875 kg</w:t>
      </w:r>
    </w:p>
    <w:p>
      <w:pPr>
        <w:numPr>
          <w:ilvl w:val="0"/>
          <w:numId w:val="1018"/>
        </w:numPr>
        <w:pStyle w:val="Compact"/>
      </w:pPr>
      <w:r>
        <w:t xml:space="preserve">Emissions from Recycling: 0.875 kg * -1.5 kg CO2e/kg = -1.3125 kg CO2e (avoided emissions)</w:t>
      </w:r>
    </w:p>
    <w:p>
      <w:pPr>
        <w:numPr>
          <w:ilvl w:val="0"/>
          <w:numId w:val="1018"/>
        </w:numPr>
        <w:pStyle w:val="Compact"/>
      </w:pPr>
      <w:r>
        <w:t xml:space="preserve">Mass Disposed: 1.25 kg * 30% = 0.375 kg</w:t>
      </w:r>
    </w:p>
    <w:p>
      <w:pPr>
        <w:numPr>
          <w:ilvl w:val="0"/>
          <w:numId w:val="1018"/>
        </w:numPr>
        <w:pStyle w:val="Compact"/>
      </w:pPr>
      <w:r>
        <w:t xml:space="preserve">Emissions from Disposal: 0.375 kg * 1.0 kg CO2e/kg = 0.375 kg CO2e</w:t>
      </w:r>
    </w:p>
    <w:p>
      <w:pPr>
        <w:numPr>
          <w:ilvl w:val="0"/>
          <w:numId w:val="1018"/>
        </w:numPr>
        <w:pStyle w:val="Compact"/>
      </w:pPr>
      <w:r>
        <w:t xml:space="preserve">Total EoL Emissions = -1.3125 + 0.375 = -0.9375 kg CO2e</w:t>
      </w:r>
    </w:p>
    <w:p>
      <w:pPr>
        <w:pStyle w:val="FirstParagraph"/>
      </w:pPr>
      <w:r>
        <w:rPr>
          <w:bCs/>
          <w:b/>
        </w:rPr>
        <w:t xml:space="preserve">Subtotal Scope 3 - Category 12: -0.94 kg CO2e</w:t>
      </w:r>
    </w:p>
    <w:bookmarkEnd w:id="44"/>
    <w:bookmarkStart w:id="45" w:name="Xa4cd520132ca8e9e3f29e21de3f4a8c33c191a4"/>
    <w:p>
      <w:pPr>
        <w:pStyle w:val="Heading4"/>
      </w:pPr>
      <w:r>
        <w:t xml:space="preserve">5.3.6. Land Sector and Removals (LSR) Standard Application (2026 Update)</w:t>
      </w:r>
    </w:p>
    <w:p>
      <w:pPr>
        <w:pStyle w:val="FirstParagraph"/>
      </w:pPr>
      <w:r>
        <w:t xml:space="preserve">The 2026 LSR Standard is designed to provide comprehensive guidance for accounting for land emissions and CO₂ removals. For \'krozgquizp\', direct land-use change emissions within the manufacturing process are considered minimal or not applicable given the \'factory_gate\' boundary and urban manufacturing context. However, the principles are integrated by considering biogenic carbon in materials (e.g., wood-based packaging, if applicable) and emphasizing CO₂ removals through recycling programs. The circular/take-back programs (\'luufqejqiu\') implemented by thdkymdjjx further align with the spirit of the LSR Standard by promoting material recovery and potential carbon sequestration if relevant biogenic materials are involved. While specific quantification requires detailed primary data on land-use for raw material sourcing, the current End-of-Life calculations already incorporate the benefits of material recycling as a form of "avoided emissions" which contributes to a net removal or reduction compared to virgin material production. The LSR Standard also covers technological CO2 removals, which are not directly part of the product\'s lifecycle for krozgquizp but are relevant for overall corporate reporting.</w:t>
      </w:r>
    </w:p>
    <w:bookmarkEnd w:id="45"/>
    <w:bookmarkEnd w:id="46"/>
    <w:bookmarkStart w:id="47" w:name="summary-of-pcf-by-scope"/>
    <w:p>
      <w:pPr>
        <w:pStyle w:val="Heading3"/>
      </w:pPr>
      <w:r>
        <w:t xml:space="preserve">5.4. Summary of PCF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 Cycle Stage</w:t>
            </w:r>
          </w:p>
        </w:tc>
        <w:tc>
          <w:tcPr/>
          <w:p>
            <w:pPr>
              <w:pStyle w:val="Compact"/>
              <w:jc w:val="left"/>
            </w:pPr>
            <w:r>
              <w:t xml:space="preserve">Emissions (kg CO2e per unit)</w:t>
            </w:r>
          </w:p>
        </w:tc>
      </w:tr>
      <w:tr>
        <w:tc>
          <w:tcPr/>
          <w:p>
            <w:pPr>
              <w:pStyle w:val="Compact"/>
              <w:jc w:val="left"/>
            </w:pPr>
            <w:r>
              <w:t xml:space="preserve">Scope 1</w:t>
            </w:r>
          </w:p>
        </w:tc>
        <w:tc>
          <w:tcPr/>
          <w:p>
            <w:pPr>
              <w:pStyle w:val="Compact"/>
              <w:jc w:val="left"/>
            </w:pPr>
            <w:r>
              <w:t xml:space="preserve">Direct (On-site)</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0.81</w:t>
            </w:r>
          </w:p>
        </w:tc>
      </w:tr>
      <w:tr>
        <w:tc>
          <w:tcPr>
            <w:vMerge w:val="restart"/>
          </w:tcPr>
          <w:p>
            <w:pPr>
              <w:pStyle w:val="Compact"/>
              <w:jc w:val="left"/>
            </w:pPr>
            <w:r>
              <w:t xml:space="preserve">Scope 3</w:t>
            </w:r>
          </w:p>
        </w:tc>
        <w:tc>
          <w:tcPr/>
          <w:p>
            <w:pPr>
              <w:pStyle w:val="Compact"/>
              <w:jc w:val="left"/>
            </w:pPr>
            <w:r>
              <w:t xml:space="preserve">Category 1: Purchased Goods &amp; Services (Materials)</w:t>
            </w:r>
          </w:p>
        </w:tc>
        <w:tc>
          <w:tcPr/>
          <w:p>
            <w:pPr>
              <w:pStyle w:val="Compact"/>
              <w:jc w:val="left"/>
            </w:pPr>
            <w:r>
              <w:t xml:space="preserve">6.10</w:t>
            </w:r>
          </w:p>
        </w:tc>
      </w:tr>
      <w:tr>
        <w:tc>
          <w:tcPr>
            <w:gridSpan w:val="1"/>
            <w:vMerge w:val="continue"/>
          </w:tcPr>
          <w:p>
            <w:pPr/>
          </w:p>
        </w:tc>
        <w:tc>
          <w:tcPr/>
          <w:p>
            <w:pPr>
              <w:pStyle w:val="Compact"/>
              <w:jc w:val="left"/>
            </w:pPr>
            <w:r>
              <w:t xml:space="preserve">Category 4: Upstream Transportation &amp; Distribution (to factory)</w:t>
            </w:r>
          </w:p>
        </w:tc>
        <w:tc>
          <w:tcPr/>
          <w:p>
            <w:pPr>
              <w:pStyle w:val="Compact"/>
              <w:jc w:val="left"/>
            </w:pPr>
            <w:r>
              <w:t xml:space="preserve">0.18</w:t>
            </w:r>
          </w:p>
        </w:tc>
      </w:tr>
      <w:tr>
        <w:tc>
          <w:tcPr>
            <w:gridSpan w:val="1"/>
            <w:vMerge w:val="continue"/>
          </w:tcPr>
          <w:p>
            <w:pPr/>
          </w:p>
        </w:tc>
        <w:tc>
          <w:tcPr/>
          <w:p>
            <w:pPr>
              <w:pStyle w:val="Compact"/>
              <w:jc w:val="left"/>
            </w:pPr>
            <w:r>
              <w:t xml:space="preserve">Category 9: Downstream Transportation &amp; Distribution (Last-Mile)</w:t>
            </w:r>
          </w:p>
        </w:tc>
        <w:tc>
          <w:tcPr/>
          <w:p>
            <w:pPr>
              <w:pStyle w:val="Compact"/>
              <w:jc w:val="left"/>
            </w:pPr>
            <w:r>
              <w:t xml:space="preserve">2.00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91.25</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-0.94</w:t>
            </w:r>
          </w:p>
        </w:tc>
      </w:tr>
      <w:tr>
        <w:tc>
          <w:tcPr>
            <w:gridSpan w:val="2"/>
          </w:tcPr>
          <w:p>
            <w:pPr>
              <w:pStyle w:val="Compact"/>
              <w:jc w:val="right"/>
            </w:pPr>
            <w:r>
              <w:t xml:space="preserve">TOTAL PRODUCT CARBON FOOTPRINT (per 1.0 unit of krozgquizp)</w:t>
            </w:r>
          </w:p>
        </w:tc>
        <w:tc>
          <w:tcPr/>
          <w:p>
            <w:pPr>
              <w:pStyle w:val="Compact"/>
              <w:jc w:val="left"/>
            </w:pPr>
            <w:r>
              <w:t xml:space="preserve">99.40 kg CO2e</w:t>
            </w:r>
          </w:p>
        </w:tc>
      </w:tr>
    </w:tbl>
    <w:p>
      <w:pPr>
        <w:pStyle w:val="BodyText"/>
      </w:pPr>
      <w:r>
        <w:rPr>
          <w:bCs/>
          <w:b/>
        </w:rPr>
        <w:t xml:space="preserve">Scope 3 Compliance:</w:t>
      </w:r>
      <w:r>
        <w:t xml:space="preserve"> </w:t>
      </w:r>
      <w:r>
        <w:t xml:space="preserve">The analysis covers significant upstream (materials, transport) and downstream (transport, use, EoL) activities, ensuring greater than 95% coverage of the value chain emissions as per 2026 requirements, based on the provided parameters.</w:t>
      </w:r>
    </w:p>
    <w:p>
      <w:r>
        <w:pict>
          <v:rect style="width:0;height:1.5pt" o:hralign="center" o:hrstd="t" o:hr="t"/>
        </w:pict>
      </w:r>
    </w:p>
    <w:bookmarkEnd w:id="47"/>
    <w:bookmarkEnd w:id="48"/>
    <w:bookmarkStart w:id="52" w:name="step-5-review-report"/>
    <w:p>
      <w:pPr>
        <w:pStyle w:val="Heading2"/>
      </w:pPr>
      <w:r>
        <w:t xml:space="preserve">6. Step 5: Review &amp; Report</w:t>
      </w:r>
    </w:p>
    <w:bookmarkStart w:id="49" w:name="emission-hotspots"/>
    <w:p>
      <w:pPr>
        <w:pStyle w:val="Heading3"/>
      </w:pPr>
      <w:r>
        <w:t xml:space="preserve">6.1. Emission Hotspots</w:t>
      </w:r>
    </w:p>
    <w:p>
      <w:pPr>
        <w:pStyle w:val="FirstParagraph"/>
      </w:pPr>
      <w:r>
        <w:t xml:space="preserve">The primary emission hotspot for krozgquizp is clearly identified in the **Use Phase (Category 11), contributing 91.25 kg CO2e or approximately 91.8% of the total PCF**. This is due to the energy consumption of the product over its 5-year lifespan. Other significant contributors include Purchased Goods &amp; Services (materials) and Downstream Transportation, but their impact is dwarfed by the use phase.</w:t>
      </w:r>
    </w:p>
    <w:bookmarkEnd w:id="49"/>
    <w:bookmarkStart w:id="50" w:name="reliability-and-limitations"/>
    <w:p>
      <w:pPr>
        <w:pStyle w:val="Heading3"/>
      </w:pPr>
      <w:r>
        <w:t xml:space="preserve">6.2. Reliability and Limitations</w:t>
      </w:r>
    </w:p>
    <w:p>
      <w:pPr>
        <w:pStyle w:val="FirstParagraph"/>
      </w:pPr>
      <w:r>
        <w:t xml:space="preserve">The reliability of this PCF analysis is high for the stages where specific parameters (BOM, energy intensity, lifespan) were provided. The use of industry-standard emission factors from sources like Ecoinvent and DEFRA enhances credibility.</w:t>
      </w:r>
    </w:p>
    <w:p>
      <w:pPr>
        <w:pStyle w:val="BodyText"/>
      </w:pPr>
      <w:r>
        <w:t xml:space="preserve">Limitations include:</w:t>
      </w:r>
    </w:p>
    <w:p>
      <w:pPr>
        <w:numPr>
          <w:ilvl w:val="0"/>
          <w:numId w:val="1019"/>
        </w:numPr>
        <w:pStyle w:val="Compact"/>
      </w:pPr>
      <w:r>
        <w:rPr>
          <w:bCs/>
          <w:b/>
        </w:rPr>
        <w:t xml:space="preserve">Secondary Data Reliance:</w:t>
      </w:r>
      <w:r>
        <w:t xml:space="preserve"> </w:t>
      </w:r>
      <w:r>
        <w:t xml:space="preserve">While emission factors are from credible sources, they represent average values. Primary data for all individual suppliers and processes would further increase accuracy.</w:t>
      </w:r>
    </w:p>
    <w:p>
      <w:pPr>
        <w:numPr>
          <w:ilvl w:val="0"/>
          <w:numId w:val="1019"/>
        </w:numPr>
        <w:pStyle w:val="Compact"/>
      </w:pPr>
      <w:r>
        <w:rPr>
          <w:bCs/>
          <w:b/>
        </w:rPr>
        <w:t xml:space="preserve">Geographic Specificity:</w:t>
      </w:r>
      <w:r>
        <w:t xml:space="preserve"> </w:t>
      </w:r>
      <w:r>
        <w:t xml:space="preserve">General emission factors for China\'s grid mix and European transport modes were used. More granular regional data could refine the results.</w:t>
      </w:r>
    </w:p>
    <w:p>
      <w:pPr>
        <w:numPr>
          <w:ilvl w:val="0"/>
          <w:numId w:val="1019"/>
        </w:numPr>
        <w:pStyle w:val="Compact"/>
      </w:pPr>
      <w:r>
        <w:rPr>
          <w:bCs/>
          <w:b/>
        </w:rPr>
        <w:t xml:space="preserve">Assumptions:</w:t>
      </w:r>
      <w:r>
        <w:t xml:space="preserve"> </w:t>
      </w:r>
      <w:r>
        <w:t xml:space="preserve">Assumptions were made for transport modes, distances (last-mile), and end-user electricity mix where precise data was not provided.</w:t>
      </w:r>
    </w:p>
    <w:p>
      <w:pPr>
        <w:numPr>
          <w:ilvl w:val="0"/>
          <w:numId w:val="1019"/>
        </w:numPr>
        <w:pStyle w:val="Compact"/>
      </w:pPr>
      <w:r>
        <w:rPr>
          <w:bCs/>
          <w:b/>
        </w:rPr>
        <w:t xml:space="preserve">LSR Standard:</w:t>
      </w:r>
      <w:r>
        <w:t xml:space="preserve"> </w:t>
      </w:r>
      <w:r>
        <w:t xml:space="preserve">Full quantification under the 2026 LSR Standard would require specific data on land-use impacts of raw material sourcing and any biogenic carbon storage/removals, which were not available. The current application is qualitative and based on existing recycling benefits.</w:t>
      </w:r>
    </w:p>
    <w:bookmarkEnd w:id="50"/>
    <w:bookmarkStart w:id="51" w:name="recommendations-for-thdkymdjjx"/>
    <w:p>
      <w:pPr>
        <w:pStyle w:val="Heading3"/>
      </w:pPr>
      <w:r>
        <w:t xml:space="preserve">6.3. Recommendations for thdkymdjjx</w:t>
      </w:r>
    </w:p>
    <w:p>
      <w:pPr>
        <w:pStyle w:val="FirstParagraph"/>
      </w:pPr>
      <w:r>
        <w:t xml:space="preserve">Based on this PCF analysis, gtnxejpqvf, Senior Sustainability Consultant, recommends the following actions for thdkymdjjx:</w:t>
      </w:r>
    </w:p>
    <w:p>
      <w:pPr>
        <w:numPr>
          <w:ilvl w:val="0"/>
          <w:numId w:val="1020"/>
        </w:numPr>
        <w:pStyle w:val="Compact"/>
      </w:pPr>
      <w:r>
        <w:rPr>
          <w:bCs/>
          <w:b/>
        </w:rPr>
        <w:t xml:space="preserve">Use Phase Decarbonization:</w:t>
      </w:r>
      <w:r>
        <w:t xml:space="preserve"> </w:t>
      </w:r>
      <w:r>
        <w:t xml:space="preserve">Prioritize design changes to reduce the energy consumption of krozgquizp during its use. Explore options for energy-efficient components or longer product lifespans that avoid early replacement.</w:t>
      </w:r>
    </w:p>
    <w:p>
      <w:pPr>
        <w:numPr>
          <w:ilvl w:val="0"/>
          <w:numId w:val="1020"/>
        </w:numPr>
        <w:pStyle w:val="Compact"/>
      </w:pPr>
      <w:r>
        <w:rPr>
          <w:bCs/>
          <w:b/>
        </w:rPr>
        <w:t xml:space="preserve">Renewable Energy Promotion (End-User):</w:t>
      </w:r>
      <w:r>
        <w:t xml:space="preserve"> </w:t>
      </w:r>
      <w:r>
        <w:t xml:space="preserve">Investigate initiatives to encourage end-users to power krozgquizp with renewable energy, potentially through partnerships or consumer education.</w:t>
      </w:r>
    </w:p>
    <w:p>
      <w:pPr>
        <w:numPr>
          <w:ilvl w:val="0"/>
          <w:numId w:val="1020"/>
        </w:numPr>
        <w:pStyle w:val="Compact"/>
      </w:pPr>
      <w:r>
        <w:rPr>
          <w:bCs/>
          <w:b/>
        </w:rPr>
        <w:t xml:space="preserve">Supply Chain Engagement:</w:t>
      </w:r>
      <w:r>
        <w:t xml:space="preserve"> </w:t>
      </w:r>
      <w:r>
        <w:t xml:space="preserve">Work with material suppliers to identify opportunities for lower-carbon alternatives or processes, focusing on high-impact components like PCBs and aluminum.</w:t>
      </w:r>
    </w:p>
    <w:p>
      <w:pPr>
        <w:numPr>
          <w:ilvl w:val="0"/>
          <w:numId w:val="1020"/>
        </w:numPr>
        <w:pStyle w:val="Compact"/>
      </w:pPr>
      <w:r>
        <w:rPr>
          <w:bCs/>
          <w:b/>
        </w:rPr>
        <w:t xml:space="preserve">Logistics Optimization:</w:t>
      </w:r>
      <w:r>
        <w:t xml:space="preserve"> </w:t>
      </w:r>
      <w:r>
        <w:t xml:space="preserve">Optimize transport routes and modes for both upstream and downstream logistics to reduce emissions per unit-km.</w:t>
      </w:r>
    </w:p>
    <w:p>
      <w:pPr>
        <w:numPr>
          <w:ilvl w:val="0"/>
          <w:numId w:val="1020"/>
        </w:numPr>
        <w:pStyle w:val="Compact"/>
      </w:pPr>
      <w:r>
        <w:rPr>
          <w:bCs/>
          <w:b/>
        </w:rPr>
        <w:t xml:space="preserve">Enhance Circularity:</w:t>
      </w:r>
      <w:r>
        <w:t xml:space="preserve"> </w:t>
      </w:r>
      <w:r>
        <w:t xml:space="preserve">Further develop and promote the \'luufqejqiu\' (thdkymdjjx Product Take-back Program) to maximize the collection and recycling of used products, further improving End-of-Life impacts.</w:t>
      </w:r>
    </w:p>
    <w:p>
      <w:pPr>
        <w:numPr>
          <w:ilvl w:val="0"/>
          <w:numId w:val="1020"/>
        </w:numPr>
        <w:pStyle w:val="Compact"/>
      </w:pPr>
      <w:r>
        <w:rPr>
          <w:bCs/>
          <w:b/>
        </w:rPr>
        <w:t xml:space="preserve">Data Granularity:</w:t>
      </w:r>
      <w:r>
        <w:t xml:space="preserve"> </w:t>
      </w:r>
      <w:r>
        <w:t xml:space="preserve">Continuously seek more primary, supplier-specific data to improve the accuracy of future PCF analyses.</w:t>
      </w:r>
    </w:p>
    <w:p>
      <w:r>
        <w:pict>
          <v:rect style="width:0;height:1.5pt" o:hralign="center" o:hrstd="t" o:hr="t"/>
        </w:pict>
      </w:r>
    </w:p>
    <w:p>
      <w:pPr>
        <w:pStyle w:val="FirstParagraph"/>
      </w:pPr>
      <w:r>
        <w:t xml:space="preserve">Confidential - Internal Use Only</w:t>
      </w:r>
    </w:p>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krozgquizp</dc:title>
  <dc:creator/>
  <dc:description>High-detail Product Carbon Footprint (PCF) analysis report for krozgquizp by gtnxejpqvf, Senior Sustainability Consultant at thdkymdjjx, adhering to GHG Protocol and 2026 LSR update requirements.</dc:description>
  <dc:language>en</dc:language>
  <cp:keywords/>
  <dcterms:created xsi:type="dcterms:W3CDTF">2026-05-30T22:12:34Z</dcterms:created>
  <dcterms:modified xsi:type="dcterms:W3CDTF">2026-05-30T22:12:34Z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