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krjspzdwwo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krjspzdwwo</w:t>
      </w:r>
    </w:p>
    <w:p>
      <w:pPr>
        <w:pStyle w:val="BodyText"/>
      </w:pPr>
      <w:r>
        <w:rPr>
          <w:bCs/>
          <w:b/>
        </w:rPr>
        <w:t xml:space="preserve">Company Name:</w:t>
      </w:r>
      <w:r>
        <w:t xml:space="preserve"> </w:t>
      </w:r>
      <w:r>
        <w:t xml:space="preserve">nnijkyzfjo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nnrevnnwfp</w:t>
      </w:r>
    </w:p>
    <w:p>
      <w:pPr>
        <w:pStyle w:val="BodyText"/>
      </w:pPr>
      <w:r>
        <w:t xml:space="preserve">This report is generated based on available data and industry standards. While efforts have been made to ensure accuracy, the results are indicative and subject to the precision of the input data.</w:t>
      </w:r>
    </w:p>
    <w:bookmarkEnd w:id="20"/>
    <w:bookmarkStart w:id="21" w:name="X912fb49fc47c53b0686410d213bc29870f0d6a5"/>
    <w:p>
      <w:pPr>
        <w:pStyle w:val="Heading1"/>
      </w:pPr>
      <w:r>
        <w:t xml:space="preserve">Product Carbon Footprint Analysis for krjspzdwwo</w:t>
      </w:r>
    </w:p>
    <w:p>
      <w:pPr>
        <w:pStyle w:val="FirstParagraph"/>
      </w:pPr>
      <w:r>
        <w:t xml:space="preserve">Generated Date: 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krjspzdwwo, manufactured by nnijkyzfjo. The analysis, conducted by Senior Sustainability Consultant nnrevnnwfp, adheres to the GHG Protocol, including the 2026 Land Sector and Removals (LSR) Standard update and ensures robust Scope 3 coverage. The primary goal is to quantify the greenhouse gas (GHG) emissions associated with krjspzdwwo across its entire lifecycle, identify emission hotspots, and provide actionable insights for sustainability improvements.</w:t>
      </w:r>
    </w:p>
    <w:p>
      <w:pPr>
        <w:pStyle w:val="BodyText"/>
      </w:pPr>
      <w:r>
        <w:t xml:space="preserve">The total Product Carbon Footprint for krjspzdwwo is calculated to be</w:t>
      </w:r>
      <w:r>
        <w:t xml:space="preserve"> </w:t>
      </w:r>
      <w:r>
        <w:t xml:space="preserve">. Key contributors include material acquisition and manufacturing, followed by the product\'s use phase. Opportunities for reduction are highlighted, particularly in optimizing material choices, enhancing renewable energy integration in production, and promoting circular economy initiatives.</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This section outlines the foundational parameters for the Product Carbon Footprint (PCF) analysis of krjspzdwwo.</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krjspzdwwo. This unit serves as the reference basis for all quantified environmental impacts.</w:t>
      </w:r>
    </w:p>
    <w:p>
      <w:pPr>
        <w:numPr>
          <w:ilvl w:val="0"/>
          <w:numId w:val="1001"/>
        </w:numPr>
        <w:pStyle w:val="Compact"/>
      </w:pPr>
      <w:r>
        <w:rPr>
          <w:bCs/>
          <w:b/>
        </w:rPr>
        <w:t xml:space="preserve">System Boundary:</w:t>
      </w:r>
      <w:r>
        <w:t xml:space="preserve"> </w:t>
      </w:r>
      <w:r>
        <w:t xml:space="preserve">The analysis employs a "cradle-to-gate plus use and end-of-life" system boundary, specifically defined as</w:t>
      </w:r>
      <w:r>
        <w:t xml:space="preserve"> </w:t>
      </w:r>
      <w:r>
        <w:rPr>
          <w:bCs/>
          <w:b/>
        </w:rPr>
        <w:t xml:space="preserve">factory_gate</w:t>
      </w:r>
      <w:r>
        <w:t xml:space="preserve"> </w:t>
      </w:r>
      <w:r>
        <w:t xml:space="preserve">for production, extending to cover the product\'s use phase and end-of-life management. This encompasses raw material extraction, manufacturing, transportation, the product\'s operational life, and its disposal or recycling.</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primarily on</w:t>
      </w:r>
      <w:r>
        <w:t xml:space="preserve"> </w:t>
      </w:r>
      <w:r>
        <w:rPr>
          <w:bCs/>
          <w:b/>
        </w:rPr>
        <w:t xml:space="preserve">Europe Focused</w:t>
      </w:r>
      <w:r>
        <w:t xml:space="preserve"> </w:t>
      </w:r>
      <w:r>
        <w:t xml:space="preserve">regions for raw material sourcing and component manufacturing. This geographic context influences the selection of regionalized emission factors.</w:t>
      </w:r>
    </w:p>
    <w:p>
      <w:pPr>
        <w:numPr>
          <w:ilvl w:val="0"/>
          <w:numId w:val="1001"/>
        </w:numPr>
        <w:pStyle w:val="Compact"/>
      </w:pPr>
      <w:r>
        <w:rPr>
          <w:bCs/>
          <w:b/>
        </w:rPr>
        <w:t xml:space="preserve">Accounting Standard:</w:t>
      </w:r>
      <w:r>
        <w:t xml:space="preserve"> </w:t>
      </w:r>
      <w:r>
        <w:t xml:space="preserve">The methodology strictly adheres to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across the value chain). The analysis also incorporates the</w:t>
      </w:r>
      <w:r>
        <w:t xml:space="preserve"> </w:t>
      </w:r>
      <w:r>
        <w:rPr>
          <w:bCs/>
          <w:b/>
        </w:rPr>
        <w:t xml:space="preserve">2026 Land Sector and Removals (LSR) Standard</w:t>
      </w:r>
      <w:r>
        <w:t xml:space="preserve"> </w:t>
      </w:r>
      <w:r>
        <w:t xml:space="preserve">for relevant land use and carbon removal considerations, and ensures at least</w:t>
      </w:r>
      <w:r>
        <w:t xml:space="preserve"> </w:t>
      </w:r>
      <w:r>
        <w:rPr>
          <w:bCs/>
          <w:b/>
        </w:rPr>
        <w:t xml:space="preserve">95% coverage for Scope 3 reporting</w:t>
      </w:r>
      <w:r>
        <w:t xml:space="preserve">.</w:t>
      </w:r>
    </w:p>
    <w:p>
      <w:pPr>
        <w:numPr>
          <w:ilvl w:val="0"/>
          <w:numId w:val="1001"/>
        </w:numPr>
        <w:pStyle w:val="Compact"/>
      </w:pPr>
      <w:r>
        <w:rPr>
          <w:bCs/>
          <w:b/>
        </w:rPr>
        <w:t xml:space="preserve">Allocation:</w:t>
      </w:r>
      <w:r>
        <w:t xml:space="preserve"> </w:t>
      </w:r>
      <w:r>
        <w:t xml:space="preserve">Where co-production or multi-functional processes occur, economic allocation is applied to distribute environmental burdens proportionally. For recycled content, the "cut-off" approach is used, attributing the burden of virgin material production to the first user and the burden of recycling to the subsequent user.</w:t>
      </w:r>
    </w:p>
    <w:p>
      <w:r>
        <w:pict>
          <v:rect style="width:0;height:1.5pt" o:hralign="center" o:hrstd="t" o:hr="t"/>
        </w:pict>
      </w:r>
    </w:p>
    <w:bookmarkEnd w:id="23"/>
    <w:bookmarkStart w:id="29" w:name="X5ac1016326291da627a3e234e03e6379762787b"/>
    <w:p>
      <w:pPr>
        <w:pStyle w:val="Heading2"/>
      </w:pPr>
      <w:r>
        <w:t xml:space="preserve">2. &amp; 3. Mapping the Lifecycle and Data Collection</w:t>
      </w:r>
    </w:p>
    <w:p>
      <w:pPr>
        <w:pStyle w:val="FirstParagraph"/>
      </w:pPr>
      <w:r>
        <w:t xml:space="preserve">The lifecycle of krjspzdwwo is divided into distinct stages to facilitate comprehensive data collection and emission calculation. Data has been collected from both primary (provided parameters) and secondary (industry average emission factors) sources.</w:t>
      </w:r>
    </w:p>
    <w:bookmarkStart w:id="24" w:name="detailed-bill-of-materials-bom-analysis"/>
    <w:p>
      <w:pPr>
        <w:pStyle w:val="Heading3"/>
      </w:pPr>
      <w:r>
        <w:t xml:space="preserve">Detailed Bill of Materials (BOM) Analysis</w:t>
      </w:r>
    </w:p>
    <w:p>
      <w:pPr>
        <w:pStyle w:val="FirstParagraph"/>
      </w:pPr>
      <w:r>
        <w:t xml:space="preserve">The following Bill of Materials (BOM) provides a high-accuracy material impact calculation for krjspzdwwo. Due to the placeholder "ezskfrph", sample data representing the specified format has been utilized for demonstration purposes. The \'Total Carbon\' values are directly used for material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Component</w:t>
            </w:r>
          </w:p>
        </w:tc>
        <w:tc>
          <w:tcPr/>
          <w:p>
            <w:pPr>
              <w:pStyle w:val="Compact"/>
              <w:jc w:val="left"/>
            </w:pPr>
            <w:r>
              <w:t xml:space="preserve">Metal</w:t>
            </w:r>
          </w:p>
        </w:tc>
        <w:tc>
          <w:tcPr/>
          <w:p>
            <w:pPr>
              <w:pStyle w:val="Compact"/>
              <w:jc w:val="left"/>
            </w:pPr>
            <w:r>
              <w:t xml:space="preserve">Manufacturing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3.0</w:t>
            </w:r>
          </w:p>
        </w:tc>
        <w:tc>
          <w:tcPr/>
          <w:p>
            <w:pPr>
              <w:pStyle w:val="Compact"/>
              <w:jc w:val="left"/>
            </w:pPr>
            <w:r>
              <w:t xml:space="preserve">4.5</w:t>
            </w:r>
          </w:p>
        </w:tc>
      </w:tr>
      <w:tr>
        <w:tc>
          <w:tcPr/>
          <w:p>
            <w:pPr>
              <w:pStyle w:val="Compact"/>
              <w:jc w:val="left"/>
            </w:pPr>
            <w:r>
              <w:t xml:space="preserve">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0.6</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19.6 kg CO2e</w:t>
            </w:r>
          </w:p>
        </w:tc>
      </w:tr>
    </w:tbl>
    <w:p>
      <w:pPr>
        <w:pStyle w:val="BodyText"/>
      </w:pPr>
      <w:r>
        <w:rPr>
          <w:iCs/>
          <w:i/>
        </w:rPr>
        <w:t xml:space="preserve">Note: The BOM data above is sample data, derived from the placeholder "ezskfrph" and adhering to its specified format. Actual calculations would utilize the exact data provided for "ezskfrph".</w:t>
      </w:r>
    </w:p>
    <w:bookmarkEnd w:id="24"/>
    <w:bookmarkStart w:id="25" w:name="production-phase-inputs"/>
    <w:p>
      <w:pPr>
        <w:pStyle w:val="Heading3"/>
      </w:pPr>
      <w:r>
        <w:t xml:space="preserve">Production Phase Inputs</w:t>
      </w:r>
    </w:p>
    <w:p>
      <w:pPr>
        <w:numPr>
          <w:ilvl w:val="0"/>
          <w:numId w:val="1002"/>
        </w:numPr>
        <w:pStyle w:val="Compact"/>
      </w:pPr>
      <w:r>
        <w:rPr>
          <w:bCs/>
          <w:b/>
        </w:rPr>
        <w:t xml:space="preserve">Energy Intensity:</w:t>
      </w:r>
      <w:r>
        <w:t xml:space="preserve"> </w:t>
      </w:r>
      <w:r>
        <w:rPr>
          <w:bCs/>
          <w:b/>
        </w:rPr>
        <w:t xml:space="preserve">ehfoddxzsx</w:t>
      </w:r>
      <w:r>
        <w:t xml:space="preserve"> </w:t>
      </w:r>
      <w:r>
        <w:t xml:space="preserve">kWh/unit (Assumed as 25 kWh/unit for calculations).</w:t>
      </w:r>
    </w:p>
    <w:p>
      <w:pPr>
        <w:numPr>
          <w:ilvl w:val="0"/>
          <w:numId w:val="1002"/>
        </w:numPr>
        <w:pStyle w:val="Compact"/>
      </w:pPr>
      <w:r>
        <w:rPr>
          <w:bCs/>
          <w:b/>
        </w:rPr>
        <w:t xml:space="preserve">Renewable Energy Usage:</w:t>
      </w:r>
      <w:r>
        <w:t xml:space="preserve"> </w:t>
      </w:r>
      <w:r>
        <w:rPr>
          <w:bCs/>
          <w:b/>
        </w:rPr>
        <w:t xml:space="preserve">srdqphumqq</w:t>
      </w:r>
      <w:r>
        <w:t xml:space="preserve"> </w:t>
      </w:r>
      <w:r>
        <w:t xml:space="preserve">(Assumed as 75% for calculations).</w:t>
      </w:r>
    </w:p>
    <w:p>
      <w:pPr>
        <w:numPr>
          <w:ilvl w:val="0"/>
          <w:numId w:val="1002"/>
        </w:numPr>
        <w:pStyle w:val="Compact"/>
      </w:pPr>
      <w:r>
        <w:rPr>
          <w:bCs/>
          <w:b/>
        </w:rPr>
        <w:t xml:space="preserve">Grid Electricity Emission Factor (China):</w:t>
      </w:r>
      <w:r>
        <w:t xml:space="preserve"> </w:t>
      </w:r>
      <w:r>
        <w:t xml:space="preserve">0.6205 kg CO2e/kWh (National average for 2023).</w:t>
      </w:r>
    </w:p>
    <w:p>
      <w:pPr>
        <w:numPr>
          <w:ilvl w:val="0"/>
          <w:numId w:val="1002"/>
        </w:numPr>
        <w:pStyle w:val="Compact"/>
      </w:pPr>
      <w:r>
        <w:rPr>
          <w:bCs/>
          <w:b/>
        </w:rPr>
        <w:t xml:space="preserve">Renewable Electricity Emission Factor:</w:t>
      </w:r>
      <w:r>
        <w:t xml:space="preserve"> </w:t>
      </w:r>
      <w:r>
        <w:t xml:space="preserve">0.02 kg CO2e/kWh (Residual emissions, industry standard assumption).</w:t>
      </w:r>
    </w:p>
    <w:bookmarkEnd w:id="25"/>
    <w:bookmarkStart w:id="26" w:name="logistics-data"/>
    <w:p>
      <w:pPr>
        <w:pStyle w:val="Heading3"/>
      </w:pPr>
      <w:r>
        <w:t xml:space="preserve">Logistics Data</w:t>
      </w:r>
    </w:p>
    <w:p>
      <w:pPr>
        <w:numPr>
          <w:ilvl w:val="0"/>
          <w:numId w:val="1003"/>
        </w:numPr>
        <w:pStyle w:val="Compact"/>
      </w:pPr>
      <w:r>
        <w:rPr>
          <w:bCs/>
          <w:b/>
        </w:rPr>
        <w:t xml:space="preserve">Transport Mode (Raw Materials to Factory):</w:t>
      </w:r>
      <w:r>
        <w:t xml:space="preserve"> </w:t>
      </w:r>
      <w:r>
        <w:rPr>
          <w:bCs/>
          <w:b/>
        </w:rPr>
        <w:t xml:space="preserve">Select Mode</w:t>
      </w:r>
      <w:r>
        <w:t xml:space="preserve"> </w:t>
      </w:r>
      <w:r>
        <w:t xml:space="preserve">(Assumed as Road (Truck) for calculations).</w:t>
      </w:r>
    </w:p>
    <w:p>
      <w:pPr>
        <w:numPr>
          <w:ilvl w:val="0"/>
          <w:numId w:val="1003"/>
        </w:numPr>
        <w:pStyle w:val="Compact"/>
      </w:pPr>
      <w:r>
        <w:rPr>
          <w:bCs/>
          <w:b/>
        </w:rPr>
        <w:t xml:space="preserve">Transport Distance (Raw Materials to Factory):</w:t>
      </w:r>
      <w:r>
        <w:t xml:space="preserve"> </w:t>
      </w:r>
      <w:r>
        <w:rPr>
          <w:bCs/>
          <w:b/>
        </w:rPr>
        <w:t xml:space="preserve">fzjkidxell</w:t>
      </w:r>
      <w:r>
        <w:t xml:space="preserve"> </w:t>
      </w:r>
      <w:r>
        <w:t xml:space="preserve">(Assumed as 1500 km for calculations).</w:t>
      </w:r>
    </w:p>
    <w:p>
      <w:pPr>
        <w:numPr>
          <w:ilvl w:val="0"/>
          <w:numId w:val="1003"/>
        </w:numPr>
        <w:pStyle w:val="Compact"/>
      </w:pPr>
      <w:r>
        <w:rPr>
          <w:bCs/>
          <w:b/>
        </w:rPr>
        <w:t xml:space="preserve">Road Transport Emission Factor (Truck):</w:t>
      </w:r>
      <w:r>
        <w:t xml:space="preserve"> </w:t>
      </w:r>
      <w:r>
        <w:t xml:space="preserve">0.062 kg CO2e/tkm (Recommended average by McKinnon).</w:t>
      </w:r>
    </w:p>
    <w:p>
      <w:pPr>
        <w:numPr>
          <w:ilvl w:val="0"/>
          <w:numId w:val="1003"/>
        </w:numPr>
        <w:pStyle w:val="Compact"/>
      </w:pPr>
      <w:r>
        <w:rPr>
          <w:bCs/>
          <w:b/>
        </w:rPr>
        <w:t xml:space="preserve">Last-Mile Delivery Channel:</w:t>
      </w:r>
      <w:r>
        <w:t xml:space="preserve"> </w:t>
      </w:r>
      <w:r>
        <w:rPr>
          <w:bCs/>
          <w:b/>
        </w:rPr>
        <w:t xml:space="preserve">Delivery Type</w:t>
      </w:r>
      <w:r>
        <w:t xml:space="preserve"> </w:t>
      </w:r>
      <w:r>
        <w:t xml:space="preserve">(Assumed as Parcel delivery van for calculations).</w:t>
      </w:r>
    </w:p>
    <w:p>
      <w:pPr>
        <w:numPr>
          <w:ilvl w:val="0"/>
          <w:numId w:val="1003"/>
        </w:numPr>
        <w:pStyle w:val="Compact"/>
      </w:pPr>
      <w:r>
        <w:rPr>
          <w:bCs/>
          <w:b/>
        </w:rPr>
        <w:t xml:space="preserve">Last-Mile Delivery Distance (Assumed):</w:t>
      </w:r>
      <w:r>
        <w:t xml:space="preserve"> </w:t>
      </w:r>
      <w:r>
        <w:t xml:space="preserve">50 km (typical last-mile distance for calculations).</w:t>
      </w:r>
    </w:p>
    <w:p>
      <w:pPr>
        <w:numPr>
          <w:ilvl w:val="0"/>
          <w:numId w:val="1003"/>
        </w:numPr>
        <w:pStyle w:val="Compact"/>
      </w:pPr>
      <w:r>
        <w:rPr>
          <w:bCs/>
          <w:b/>
        </w:rPr>
        <w:t xml:space="preserve">Parcel Delivery Van Emission Factor (Assumed):</w:t>
      </w:r>
      <w:r>
        <w:t xml:space="preserve"> </w:t>
      </w:r>
      <w:r>
        <w:t xml:space="preserve">0.15 kg CO2e/tkm (Generic industry average).</w:t>
      </w:r>
    </w:p>
    <w:p>
      <w:pPr>
        <w:numPr>
          <w:ilvl w:val="0"/>
          <w:numId w:val="1003"/>
        </w:numPr>
        <w:pStyle w:val="Compact"/>
      </w:pPr>
      <w:r>
        <w:rPr>
          <w:bCs/>
          <w:b/>
        </w:rPr>
        <w:t xml:space="preserve">Average Product Weight for Transport:</w:t>
      </w:r>
      <w:r>
        <w:t xml:space="preserve"> </w:t>
      </w:r>
      <w:r>
        <w:t xml:space="preserve">7.2 kg (Sum of Qty from BOM: 5+1.5+0.2+0.5 = 7.2 kg).</w:t>
      </w:r>
    </w:p>
    <w:bookmarkEnd w:id="26"/>
    <w:bookmarkStart w:id="27" w:name="use-phase-data"/>
    <w:p>
      <w:pPr>
        <w:pStyle w:val="Heading3"/>
      </w:pPr>
      <w:r>
        <w:t xml:space="preserve">Use Phase Data</w:t>
      </w:r>
    </w:p>
    <w:p>
      <w:pPr>
        <w:numPr>
          <w:ilvl w:val="0"/>
          <w:numId w:val="1004"/>
        </w:numPr>
        <w:pStyle w:val="Compact"/>
      </w:pPr>
      <w:r>
        <w:rPr>
          <w:bCs/>
          <w:b/>
        </w:rPr>
        <w:t xml:space="preserve">Product Lifespan:</w:t>
      </w:r>
      <w:r>
        <w:t xml:space="preserve"> </w:t>
      </w:r>
      <w:r>
        <w:rPr>
          <w:bCs/>
          <w:b/>
        </w:rPr>
        <w:t xml:space="preserve">gvgrhetdhn</w:t>
      </w:r>
      <w:r>
        <w:t xml:space="preserve"> </w:t>
      </w:r>
      <w:r>
        <w:t xml:space="preserve">(Assumed as 5 years for calculations).</w:t>
      </w:r>
    </w:p>
    <w:p>
      <w:pPr>
        <w:numPr>
          <w:ilvl w:val="0"/>
          <w:numId w:val="1004"/>
        </w:numPr>
        <w:pStyle w:val="Compact"/>
      </w:pPr>
      <w:r>
        <w:rPr>
          <w:bCs/>
          <w:b/>
        </w:rPr>
        <w:t xml:space="preserve">Energy Consumption in Use:</w:t>
      </w:r>
      <w:r>
        <w:t xml:space="preserve"> </w:t>
      </w:r>
      <w:r>
        <w:rPr>
          <w:bCs/>
          <w:b/>
        </w:rPr>
        <w:t xml:space="preserve">ufygdyszyz</w:t>
      </w:r>
      <w:r>
        <w:t xml:space="preserve"> </w:t>
      </w:r>
      <w:r>
        <w:t xml:space="preserve">kWh/year (Assumed as 10 kWh/year for calculations).</w:t>
      </w:r>
    </w:p>
    <w:p>
      <w:pPr>
        <w:numPr>
          <w:ilvl w:val="0"/>
          <w:numId w:val="1004"/>
        </w:numPr>
        <w:pStyle w:val="Compact"/>
      </w:pPr>
      <w:r>
        <w:rPr>
          <w:bCs/>
          <w:b/>
        </w:rPr>
        <w:t xml:space="preserve">Electricity Emission Factor (User Country Mix):</w:t>
      </w:r>
      <w:r>
        <w:t xml:space="preserve"> </w:t>
      </w:r>
      <w:r>
        <w:t xml:space="preserve">0.4 kg CO2e/kWh (Assumed generic average for general consumer use).</w:t>
      </w:r>
    </w:p>
    <w:bookmarkEnd w:id="27"/>
    <w:bookmarkStart w:id="28"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rPr>
          <w:bCs/>
          <w:b/>
        </w:rPr>
        <w:t xml:space="preserve">vsoqkdjken</w:t>
      </w:r>
      <w:r>
        <w:t xml:space="preserve"> </w:t>
      </w:r>
      <w:r>
        <w:t xml:space="preserve">(Assumed as 80% for calculations).</w:t>
      </w:r>
    </w:p>
    <w:p>
      <w:pPr>
        <w:numPr>
          <w:ilvl w:val="0"/>
          <w:numId w:val="1005"/>
        </w:numPr>
        <w:pStyle w:val="Compact"/>
      </w:pPr>
      <w:r>
        <w:rPr>
          <w:bCs/>
          <w:b/>
        </w:rPr>
        <w:t xml:space="preserve">Circular/Take-back Programs:</w:t>
      </w:r>
      <w:r>
        <w:t xml:space="preserve"> </w:t>
      </w:r>
      <w:r>
        <w:rPr>
          <w:bCs/>
          <w:b/>
        </w:rPr>
        <w:t xml:space="preserve">konqdhkxir</w:t>
      </w:r>
      <w:r>
        <w:t xml:space="preserve"> </w:t>
      </w:r>
      <w:r>
        <w:t xml:space="preserve">(Assumed as \'Yes, with a 15% return rate for remanufacturing\' for calculations. Benefits from remanufacturing are considered as avoided emissions where applicable).</w:t>
      </w:r>
    </w:p>
    <w:p>
      <w:pPr>
        <w:numPr>
          <w:ilvl w:val="0"/>
          <w:numId w:val="1005"/>
        </w:numPr>
        <w:pStyle w:val="Compact"/>
      </w:pPr>
      <w:r>
        <w:rPr>
          <w:bCs/>
          <w:b/>
        </w:rPr>
        <w:t xml:space="preserve">Recycling Benefit (Assumed):</w:t>
      </w:r>
      <w:r>
        <w:t xml:space="preserve"> </w:t>
      </w:r>
      <w:r>
        <w:t xml:space="preserve">-0.5 kg CO2e/kg (Avoided virgin material production, industry standard assumption).</w:t>
      </w:r>
    </w:p>
    <w:p>
      <w:pPr>
        <w:numPr>
          <w:ilvl w:val="0"/>
          <w:numId w:val="1005"/>
        </w:numPr>
        <w:pStyle w:val="Compact"/>
      </w:pPr>
      <w:r>
        <w:rPr>
          <w:bCs/>
          <w:b/>
        </w:rPr>
        <w:t xml:space="preserve">Disposal (Landfill) Emission Factor (Assumed for non-recycled waste):</w:t>
      </w:r>
      <w:r>
        <w:t xml:space="preserve"> </w:t>
      </w:r>
      <w:r>
        <w:t xml:space="preserve">1.5 kg CO2e/kg (Industry standard assumption for mixed waste).</w:t>
      </w:r>
    </w:p>
    <w:p>
      <w:pPr>
        <w:pStyle w:val="FirstParagraph"/>
      </w:pPr>
      <w:r>
        <w:rPr>
          <w:iCs/>
          <w:i/>
        </w:rPr>
        <w:t xml:space="preserve">Note: All quantitative parameters provided as placeholders (e.g., ehfoddxzsx, srdqphumqq) have been substituted with reasonable sample values to facilitate the calculation demonstration. Actual calculations would require precise numerical inputs for these parameters. Emission factors used are derived from industry-standard databases such as Ecoinvent and DEFRA, or from cited public reports.</w:t>
      </w:r>
    </w:p>
    <w:p>
      <w:r>
        <w:pict>
          <v:rect style="width:0;height:1.5pt" o:hralign="center" o:hrstd="t" o:hr="t"/>
        </w:pict>
      </w:r>
    </w:p>
    <w:bookmarkEnd w:id="28"/>
    <w:bookmarkEnd w:id="29"/>
    <w:bookmarkStart w:id="40" w:name="X3720d7d0541b3a6e3c473bd4daa188ddb828856"/>
    <w:p>
      <w:pPr>
        <w:pStyle w:val="Heading2"/>
      </w:pPr>
      <w:r>
        <w:t xml:space="preserve">4. Calculating Emissions (Activity * Emission Factor = CO2e)</w:t>
      </w:r>
    </w:p>
    <w:p>
      <w:pPr>
        <w:pStyle w:val="FirstParagraph"/>
      </w:pPr>
      <w:r>
        <w:t xml:space="preserve">The emissions for each lifecycle stage are calculated based on the activity data and respective emission factors. The results are categorized according to the GHG Protocol Scopes.</w:t>
      </w:r>
    </w:p>
    <w:bookmarkStart w:id="30" w:name="Xf9a088283f566c215e21d88df6fbc468b12ac2c"/>
    <w:p>
      <w:pPr>
        <w:pStyle w:val="Heading3"/>
      </w:pPr>
      <w:r>
        <w:t xml:space="preserve">Summary of Calculated Emissions by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Activity Description</w:t>
            </w:r>
          </w:p>
        </w:tc>
        <w:tc>
          <w:tcPr/>
          <w:p>
            <w:pPr>
              <w:pStyle w:val="Compact"/>
              <w:jc w:val="left"/>
            </w:pPr>
            <w:r>
              <w:t xml:space="preserve">GHG Scope</w:t>
            </w:r>
          </w:p>
        </w:tc>
        <w:tc>
          <w:tcPr/>
          <w:p>
            <w:pPr>
              <w:pStyle w:val="Compact"/>
              <w:jc w:val="left"/>
            </w:pPr>
            <w:r>
              <w:t xml:space="preserve">Calculated CO2e (kg)</w:t>
            </w:r>
          </w:p>
        </w:tc>
      </w:tr>
      <w:tr>
        <w:tc>
          <w:tcPr/>
          <w:p>
            <w:pPr>
              <w:pStyle w:val="Compact"/>
              <w:jc w:val="left"/>
            </w:pPr>
            <w:r>
              <w:rPr>
                <w:bCs/>
                <w:b/>
              </w:rPr>
              <w:t xml:space="preserve">Materials Acquisition &amp; Processing</w:t>
            </w:r>
          </w:p>
        </w:tc>
        <w:tc>
          <w:tcPr/>
          <w:p>
            <w:pPr>
              <w:pStyle w:val="Compact"/>
              <w:jc w:val="left"/>
            </w:pPr>
            <w:r>
              <w:t xml:space="preserve">Raw materials extraction, processing, and component manufacturing (based on BOM)</w:t>
            </w:r>
          </w:p>
        </w:tc>
        <w:tc>
          <w:tcPr/>
          <w:p>
            <w:pPr>
              <w:pStyle w:val="Compact"/>
              <w:jc w:val="left"/>
            </w:pPr>
            <w:r>
              <w:t xml:space="preserve">Scope 3 (Upstream)</w:t>
            </w:r>
          </w:p>
        </w:tc>
        <w:tc>
          <w:tcPr/>
          <w:p>
            <w:pPr>
              <w:pStyle w:val="Compact"/>
              <w:jc w:val="left"/>
            </w:pPr>
            <w:r>
              <w:t xml:space="preserve">19.600</w:t>
            </w:r>
          </w:p>
        </w:tc>
      </w:tr>
      <w:tr>
        <w:tc>
          <w:tcPr/>
          <w:p>
            <w:pPr>
              <w:pStyle w:val="Compact"/>
              <w:jc w:val="left"/>
            </w:pPr>
            <w:r>
              <w:rPr>
                <w:bCs/>
                <w:b/>
              </w:rPr>
              <w:t xml:space="preserve">Manufacturing</w:t>
            </w:r>
          </w:p>
        </w:tc>
        <w:tc>
          <w:tcPr/>
          <w:p>
            <w:pPr>
              <w:pStyle w:val="Compact"/>
              <w:jc w:val="left"/>
            </w:pPr>
            <w:r>
              <w:t xml:space="preserve">Energy consumption for product assembly in China</w:t>
            </w:r>
          </w:p>
        </w:tc>
        <w:tc>
          <w:tcPr/>
          <w:p>
            <w:pPr>
              <w:pStyle w:val="Compact"/>
              <w:jc w:val="left"/>
            </w:pPr>
            <w:r>
              <w:t xml:space="preserve">Scope 2 (Purchased Electricity)</w:t>
            </w:r>
          </w:p>
        </w:tc>
        <w:tc>
          <w:tcPr/>
          <w:p>
            <w:pPr>
              <w:pStyle w:val="Compact"/>
            </w:pPr>
          </w:p>
        </w:tc>
      </w:tr>
      <w:tr>
        <w:tc>
          <w:tcPr>
            <w:vMerge w:val="restart"/>
          </w:tcPr>
          <w:p>
            <w:pPr>
              <w:pStyle w:val="Compact"/>
              <w:jc w:val="left"/>
            </w:pPr>
            <w:r>
              <w:rPr>
                <w:bCs/>
                <w:b/>
              </w:rPr>
              <w:t xml:space="preserve">Transportation</w:t>
            </w:r>
          </w:p>
        </w:tc>
        <w:tc>
          <w:tcPr/>
          <w:p>
            <w:pPr>
              <w:pStyle w:val="Compact"/>
              <w:jc w:val="left"/>
            </w:pPr>
            <w:r>
              <w:t xml:space="preserve">Upstream logistics (Raw materials to factory in China)</w:t>
            </w:r>
          </w:p>
        </w:tc>
        <w:tc>
          <w:tcPr/>
          <w:p>
            <w:pPr>
              <w:pStyle w:val="Compact"/>
              <w:jc w:val="left"/>
            </w:pPr>
            <w:r>
              <w:t xml:space="preserve">Scope 3 (Upstream)</w:t>
            </w:r>
          </w:p>
        </w:tc>
        <w:tc>
          <w:tcPr/>
          <w:p>
            <w:pPr>
              <w:pStyle w:val="Compact"/>
            </w:pPr>
          </w:p>
        </w:tc>
      </w:tr>
      <w:tr>
        <w:tc>
          <w:tcPr>
            <w:gridSpan w:val="1"/>
            <w:vMerge w:val="continue"/>
          </w:tcPr>
          <w:p>
            <w:pPr/>
          </w:p>
        </w:tc>
        <w:tc>
          <w:tcPr/>
          <w:p>
            <w:pPr>
              <w:pStyle w:val="Compact"/>
              <w:jc w:val="left"/>
            </w:pPr>
            <w:r>
              <w:t xml:space="preserve">Downstream logistics (Last-mile delivery to customer)</w:t>
            </w:r>
          </w:p>
        </w:tc>
        <w:tc>
          <w:tcPr/>
          <w:p>
            <w:pPr>
              <w:pStyle w:val="Compact"/>
              <w:jc w:val="left"/>
            </w:pPr>
            <w:r>
              <w:t xml:space="preserve">Scope 3 (Downstream)</w:t>
            </w:r>
          </w:p>
        </w:tc>
        <w:tc>
          <w:tcPr/>
          <w:p>
            <w:pPr>
              <w:pStyle w:val="Compact"/>
            </w:pPr>
          </w:p>
        </w:tc>
      </w:tr>
      <w:tr>
        <w:tc>
          <w:tcPr/>
          <w:p>
            <w:pPr>
              <w:pStyle w:val="Compact"/>
              <w:jc w:val="left"/>
            </w:pPr>
            <w:r>
              <w:rPr>
                <w:bCs/>
                <w:b/>
              </w:rPr>
              <w:t xml:space="preserve">Use Phase</w:t>
            </w:r>
          </w:p>
        </w:tc>
        <w:tc>
          <w:tcPr/>
          <w:p>
            <w:pPr>
              <w:pStyle w:val="Compact"/>
              <w:jc w:val="left"/>
            </w:pPr>
            <w:r>
              <w:t xml:space="preserve">Energy consumption during product lifespan</w:t>
            </w:r>
          </w:p>
        </w:tc>
        <w:tc>
          <w:tcPr/>
          <w:p>
            <w:pPr>
              <w:pStyle w:val="Compact"/>
              <w:jc w:val="left"/>
            </w:pPr>
            <w:r>
              <w:t xml:space="preserve">Scope 3 (Downstream)</w:t>
            </w:r>
          </w:p>
        </w:tc>
        <w:tc>
          <w:tcPr/>
          <w:p>
            <w:pPr>
              <w:pStyle w:val="Compact"/>
            </w:pPr>
          </w:p>
        </w:tc>
      </w:tr>
      <w:tr>
        <w:tc>
          <w:tcPr/>
          <w:p>
            <w:pPr>
              <w:pStyle w:val="Compact"/>
              <w:jc w:val="left"/>
            </w:pPr>
            <w:r>
              <w:rPr>
                <w:bCs/>
                <w:b/>
              </w:rPr>
              <w:t xml:space="preserve">End-of-Life (EoL)</w:t>
            </w:r>
          </w:p>
        </w:tc>
        <w:tc>
          <w:tcPr/>
          <w:p>
            <w:pPr>
              <w:pStyle w:val="Compact"/>
              <w:jc w:val="left"/>
            </w:pPr>
            <w:r>
              <w:t xml:space="preserve">Recycling benefits and disposal emissions</w:t>
            </w:r>
          </w:p>
        </w:tc>
        <w:tc>
          <w:tcPr/>
          <w:p>
            <w:pPr>
              <w:pStyle w:val="Compact"/>
              <w:jc w:val="left"/>
            </w:pPr>
            <w:r>
              <w:t xml:space="preserve">Scope 3 (Downstream)</w:t>
            </w:r>
          </w:p>
        </w:tc>
        <w:tc>
          <w:tcPr/>
          <w:p>
            <w:pPr>
              <w:pStyle w:val="Compact"/>
            </w:pPr>
          </w:p>
        </w:tc>
      </w:tr>
      <w:tr>
        <w:tc>
          <w:tcPr>
            <w:gridSpan w:val="3"/>
          </w:tcPr>
          <w:p>
            <w:pPr>
              <w:pStyle w:val="Compact"/>
              <w:jc w:val="right"/>
            </w:pPr>
            <w:r>
              <w:rPr>
                <w:bCs/>
                <w:b/>
              </w:rPr>
              <w:t xml:space="preserve">Total Product Carbon Footprint (PCF):</w:t>
            </w:r>
          </w:p>
        </w:tc>
        <w:tc>
          <w:tcPr/>
          <w:p>
            <w:pPr>
              <w:pStyle w:val="Compact"/>
            </w:pPr>
          </w:p>
        </w:tc>
      </w:tr>
    </w:tbl>
    <w:bookmarkEnd w:id="30"/>
    <w:bookmarkStart w:id="37" w:name="detailed-emission-calculations"/>
    <w:p>
      <w:pPr>
        <w:pStyle w:val="Heading3"/>
      </w:pPr>
      <w:r>
        <w:t xml:space="preserve">Detailed Emission Calculations:</w:t>
      </w:r>
    </w:p>
    <w:bookmarkStart w:id="31" w:name="X5895d2a093bf72327af3b08129fc8f3e171d926"/>
    <w:p>
      <w:pPr>
        <w:pStyle w:val="Heading4"/>
      </w:pPr>
      <w:r>
        <w:t xml:space="preserve">Materials Acquisition &amp; Processing (Scope 3 - Upstream)</w:t>
      </w:r>
    </w:p>
    <w:p>
      <w:pPr>
        <w:pStyle w:val="FirstParagraph"/>
      </w:pPr>
      <w:r>
        <w:t xml:space="preserve">Total carbon from the Bill of Materials (BOM) is directly used for this stage.</w:t>
      </w:r>
    </w:p>
    <w:p>
      <w:pPr>
        <w:pStyle w:val="BodyText"/>
      </w:pPr>
      <w:r>
        <w:rPr>
          <w:bCs/>
          <w:b/>
        </w:rPr>
        <w:t xml:space="preserve">Calculated Emissions: 19.600 kg CO2e</w:t>
      </w:r>
    </w:p>
    <w:bookmarkEnd w:id="31"/>
    <w:bookmarkStart w:id="32" w:name="X2d7d2731a5ec24109560c3a324a923b9e4b36fa"/>
    <w:p>
      <w:pPr>
        <w:pStyle w:val="Heading4"/>
      </w:pPr>
      <w:r>
        <w:t xml:space="preserve">Manufacturing (Scope 2 - Purchased Electricity)</w:t>
      </w:r>
    </w:p>
    <w:p>
      <w:pPr>
        <w:pStyle w:val="FirstParagraph"/>
      </w:pPr>
      <w:r>
        <w:t xml:space="preserve">Assuming Energy Intensity (EI) = 25 kWh/unit and Renewable Energy Usage (REU) = 75%.</w:t>
      </w:r>
      <w:r>
        <w:t xml:space="preserve"> </w:t>
      </w:r>
      <w:r>
        <w:t xml:space="preserve">Grid Electricity EF (China) = 0.6205 kg CO2e/kWh.</w:t>
      </w:r>
      <w:r>
        <w:t xml:space="preserve"> </w:t>
      </w:r>
      <w:r>
        <w:t xml:space="preserve">Renewable Electricity EF = 0.02 kg CO2e/kWh.</w:t>
      </w:r>
    </w:p>
    <w:p>
      <w:pPr>
        <w:numPr>
          <w:ilvl w:val="0"/>
          <w:numId w:val="1006"/>
        </w:numPr>
        <w:pStyle w:val="Compact"/>
      </w:pPr>
      <w:r>
        <w:t xml:space="preserve">Total Energy Consumption: 25 kWh/unit</w:t>
      </w:r>
    </w:p>
    <w:p>
      <w:pPr>
        <w:numPr>
          <w:ilvl w:val="0"/>
          <w:numId w:val="1006"/>
        </w:numPr>
        <w:pStyle w:val="Compact"/>
      </w:pPr>
      <w:r>
        <w:t xml:space="preserve">Renewable Energy Used: 25 kWh/unit * 0.75 = 18.75 kWh/unit</w:t>
      </w:r>
    </w:p>
    <w:p>
      <w:pPr>
        <w:numPr>
          <w:ilvl w:val="0"/>
          <w:numId w:val="1006"/>
        </w:numPr>
        <w:pStyle w:val="Compact"/>
      </w:pPr>
      <w:r>
        <w:t xml:space="preserve">Grid Energy Used: 25 kWh/unit * (1 - 0.75) = 6.25 kWh/unit</w:t>
      </w:r>
    </w:p>
    <w:p>
      <w:pPr>
        <w:numPr>
          <w:ilvl w:val="0"/>
          <w:numId w:val="1006"/>
        </w:numPr>
        <w:pStyle w:val="Compact"/>
      </w:pPr>
      <w:r>
        <w:t xml:space="preserve">Emissions from Renewable Energy: 18.75 kWh * 0.02 kg CO2e/kWh = 0.375 kg CO2e</w:t>
      </w:r>
    </w:p>
    <w:p>
      <w:pPr>
        <w:numPr>
          <w:ilvl w:val="0"/>
          <w:numId w:val="1006"/>
        </w:numPr>
        <w:pStyle w:val="Compact"/>
      </w:pPr>
      <w:r>
        <w:t xml:space="preserve">Emissions from Grid Energy: 6.25 kWh * 0.6205 kg CO2e/kWh = 3.878 kg CO2e</w:t>
      </w:r>
    </w:p>
    <w:p>
      <w:pPr>
        <w:pStyle w:val="FirstParagraph"/>
      </w:pPr>
      <w:r>
        <w:rPr>
          <w:bCs/>
          <w:b/>
        </w:rPr>
        <w:t xml:space="preserve">Calculated Emissions: 0.375 + 3.878 = 4.253 kg CO2e</w:t>
      </w:r>
    </w:p>
    <w:bookmarkEnd w:id="32"/>
    <w:bookmarkStart w:id="33" w:name="X85a5076f5e31af887de7824a6a7795d4d873867"/>
    <w:p>
      <w:pPr>
        <w:pStyle w:val="Heading4"/>
      </w:pPr>
      <w:r>
        <w:t xml:space="preserve">Transportation - Upstream (Scope 3 - Upstream)</w:t>
      </w:r>
    </w:p>
    <w:p>
      <w:pPr>
        <w:pStyle w:val="FirstParagraph"/>
      </w:pPr>
      <w:r>
        <w:t xml:space="preserve">Raw materials transport from Europe to factory in China.</w:t>
      </w:r>
      <w:r>
        <w:t xml:space="preserve"> </w:t>
      </w:r>
      <w:r>
        <w:t xml:space="preserve">Total product weight (from BOM) = 7.2 kg = 0.0072 tonnes.</w:t>
      </w:r>
      <w:r>
        <w:t xml:space="preserve"> </w:t>
      </w:r>
      <w:r>
        <w:t xml:space="preserve">Transport Distance = 1500 km.</w:t>
      </w:r>
      <w:r>
        <w:t xml:space="preserve"> </w:t>
      </w:r>
      <w:r>
        <w:t xml:space="preserve">Road Transport EF = 0.062 kg CO2e/tkm.</w:t>
      </w:r>
    </w:p>
    <w:p>
      <w:pPr>
        <w:numPr>
          <w:ilvl w:val="0"/>
          <w:numId w:val="1007"/>
        </w:numPr>
        <w:pStyle w:val="Compact"/>
      </w:pPr>
      <w:r>
        <w:t xml:space="preserve">Emissions: 0.0072 tonnes * 1500 km * 0.062 kg CO2e/tkm = 0.670 kg CO2e</w:t>
      </w:r>
    </w:p>
    <w:p>
      <w:pPr>
        <w:pStyle w:val="FirstParagraph"/>
      </w:pPr>
      <w:r>
        <w:rPr>
          <w:bCs/>
          <w:b/>
        </w:rPr>
        <w:t xml:space="preserve">Calculated Emissions: 0.670 kg CO2e</w:t>
      </w:r>
    </w:p>
    <w:bookmarkEnd w:id="33"/>
    <w:bookmarkStart w:id="34" w:name="X21e43885a44dbe79d81547551a2f0c768bb21dc"/>
    <w:p>
      <w:pPr>
        <w:pStyle w:val="Heading4"/>
      </w:pPr>
      <w:r>
        <w:t xml:space="preserve">Transportation - Downstream (Scope 3 - Downstream)</w:t>
      </w:r>
    </w:p>
    <w:p>
      <w:pPr>
        <w:pStyle w:val="FirstParagraph"/>
      </w:pPr>
      <w:r>
        <w:t xml:space="preserve">Last-mile delivery (assumed 50 km by parcel delivery van).</w:t>
      </w:r>
      <w:r>
        <w:t xml:space="preserve"> </w:t>
      </w:r>
      <w:r>
        <w:t xml:space="preserve">Average product weight = 7.2 kg = 0.0072 tonnes.</w:t>
      </w:r>
      <w:r>
        <w:t xml:space="preserve"> </w:t>
      </w:r>
      <w:r>
        <w:t xml:space="preserve">Parcel Delivery Van EF = 0.15 kg CO2e/tkm.</w:t>
      </w:r>
    </w:p>
    <w:p>
      <w:pPr>
        <w:numPr>
          <w:ilvl w:val="0"/>
          <w:numId w:val="1008"/>
        </w:numPr>
        <w:pStyle w:val="Compact"/>
      </w:pPr>
      <w:r>
        <w:t xml:space="preserve">Emissions: 0.0072 tonnes * 50 km * 0.15 kg CO2e/tkm = 0.054 kg CO2e</w:t>
      </w:r>
    </w:p>
    <w:p>
      <w:pPr>
        <w:pStyle w:val="FirstParagraph"/>
      </w:pPr>
      <w:r>
        <w:rPr>
          <w:bCs/>
          <w:b/>
        </w:rPr>
        <w:t xml:space="preserve">Calculated Emissions: 0.054 kg CO2e</w:t>
      </w:r>
    </w:p>
    <w:bookmarkEnd w:id="34"/>
    <w:bookmarkStart w:id="35" w:name="use-phase-scope-3---downstream"/>
    <w:p>
      <w:pPr>
        <w:pStyle w:val="Heading4"/>
      </w:pPr>
      <w:r>
        <w:t xml:space="preserve">Use Phase (Scope 3 - Downstream)</w:t>
      </w:r>
    </w:p>
    <w:p>
      <w:pPr>
        <w:pStyle w:val="FirstParagraph"/>
      </w:pPr>
      <w:r>
        <w:t xml:space="preserve">Product Lifespan = 5 years.</w:t>
      </w:r>
      <w:r>
        <w:t xml:space="preserve"> </w:t>
      </w:r>
      <w:r>
        <w:t xml:space="preserve">Energy Consumption in Use = 10 kWh/year.</w:t>
      </w:r>
      <w:r>
        <w:t xml:space="preserve"> </w:t>
      </w:r>
      <w:r>
        <w:t xml:space="preserve">Electricity EF (User Country Mix) = 0.4 kg CO2e/kWh.</w:t>
      </w:r>
    </w:p>
    <w:p>
      <w:pPr>
        <w:numPr>
          <w:ilvl w:val="0"/>
          <w:numId w:val="1009"/>
        </w:numPr>
        <w:pStyle w:val="Compact"/>
      </w:pPr>
      <w:r>
        <w:t xml:space="preserve">Total Energy Consumption over Lifespan: 10 kWh/year * 5 years = 50 kWh</w:t>
      </w:r>
    </w:p>
    <w:p>
      <w:pPr>
        <w:numPr>
          <w:ilvl w:val="0"/>
          <w:numId w:val="1009"/>
        </w:numPr>
        <w:pStyle w:val="Compact"/>
      </w:pPr>
      <w:r>
        <w:t xml:space="preserve">Emissions: 50 kWh * 0.4 kg CO2e/kWh = 20.000 kg CO2e</w:t>
      </w:r>
    </w:p>
    <w:p>
      <w:pPr>
        <w:pStyle w:val="FirstParagraph"/>
      </w:pPr>
      <w:r>
        <w:rPr>
          <w:bCs/>
          <w:b/>
        </w:rPr>
        <w:t xml:space="preserve">Calculated Emissions: 20.000 kg CO2e</w:t>
      </w:r>
    </w:p>
    <w:bookmarkEnd w:id="35"/>
    <w:bookmarkStart w:id="36" w:name="end-of-life-eol-scope-3---downstream"/>
    <w:p>
      <w:pPr>
        <w:pStyle w:val="Heading4"/>
      </w:pPr>
      <w:r>
        <w:t xml:space="preserve">End-of-Life (EoL) (Scope 3 - Downstream)</w:t>
      </w:r>
    </w:p>
    <w:p>
      <w:pPr>
        <w:pStyle w:val="FirstParagraph"/>
      </w:pPr>
      <w:r>
        <w:t xml:space="preserve">Total product mass = 7.2 kg.</w:t>
      </w:r>
      <w:r>
        <w:t xml:space="preserve"> </w:t>
      </w:r>
      <w:r>
        <w:t xml:space="preserve">Recyclability Percentage = 80%.</w:t>
      </w:r>
      <w:r>
        <w:t xml:space="preserve"> </w:t>
      </w:r>
      <w:r>
        <w:t xml:space="preserve">Recycling Benefit = -0.5 kg CO2e/kg.</w:t>
      </w:r>
      <w:r>
        <w:t xml:space="preserve"> </w:t>
      </w:r>
      <w:r>
        <w:t xml:space="preserve">Disposal (Landfill) EF = 1.5 kg CO2e/kg.</w:t>
      </w:r>
      <w:r>
        <w:t xml:space="preserve"> </w:t>
      </w:r>
      <w:r>
        <w:t xml:space="preserve">Circular programs: 15% return for remanufacturing (acknowledged, but specific avoided emissions are complex to quantify without detailed process data. For this report, the recycling benefit is quantified).</w:t>
      </w:r>
    </w:p>
    <w:p>
      <w:pPr>
        <w:numPr>
          <w:ilvl w:val="0"/>
          <w:numId w:val="1010"/>
        </w:numPr>
        <w:pStyle w:val="Compact"/>
      </w:pPr>
      <w:r>
        <w:t xml:space="preserve">Mass Recycled: 7.2 kg * 0.80 = 5.76 kg</w:t>
      </w:r>
    </w:p>
    <w:p>
      <w:pPr>
        <w:numPr>
          <w:ilvl w:val="0"/>
          <w:numId w:val="1010"/>
        </w:numPr>
        <w:pStyle w:val="Compact"/>
      </w:pPr>
      <w:r>
        <w:t xml:space="preserve">Recycling Credit: 5.76 kg * -0.5 kg CO2e/kg = -2.880 kg CO2e</w:t>
      </w:r>
    </w:p>
    <w:p>
      <w:pPr>
        <w:numPr>
          <w:ilvl w:val="0"/>
          <w:numId w:val="1010"/>
        </w:numPr>
        <w:pStyle w:val="Compact"/>
      </w:pPr>
      <w:r>
        <w:t xml:space="preserve">Mass Disposed: 7.2 kg * (1 - 0.80) = 1.44 kg</w:t>
      </w:r>
    </w:p>
    <w:p>
      <w:pPr>
        <w:numPr>
          <w:ilvl w:val="0"/>
          <w:numId w:val="1010"/>
        </w:numPr>
        <w:pStyle w:val="Compact"/>
      </w:pPr>
      <w:r>
        <w:t xml:space="preserve">Disposal Emissions: 1.44 kg * 1.5 kg CO2e/kg = 2.160 kg CO2e</w:t>
      </w:r>
    </w:p>
    <w:p>
      <w:pPr>
        <w:pStyle w:val="FirstParagraph"/>
      </w:pPr>
      <w:r>
        <w:rPr>
          <w:bCs/>
          <w:b/>
        </w:rPr>
        <w:t xml:space="preserve">Calculated Emissions: -2.880 + 2.160 = -0.720 kg CO2e</w:t>
      </w:r>
    </w:p>
    <w:p>
      <w:pPr>
        <w:pStyle w:val="BodyText"/>
      </w:pPr>
      <w:r>
        <w:rPr>
          <w:iCs/>
          <w:i/>
        </w:rPr>
        <w:t xml:space="preserve">The negative value indicates an overall carbon saving due to the high recyclability and associated benefits.</w:t>
      </w:r>
    </w:p>
    <w:bookmarkEnd w:id="36"/>
    <w:bookmarkEnd w:id="37"/>
    <w:bookmarkStart w:id="39" w:name="ghg-protocol-scopes-summary"/>
    <w:p>
      <w:pPr>
        <w:pStyle w:val="Heading3"/>
      </w:pPr>
      <w:r>
        <w:t xml:space="preserve">GHG Protocol Scopes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 (Purchased Electricity)</w:t>
            </w:r>
          </w:p>
        </w:tc>
        <w:tc>
          <w:tcPr/>
          <w:p>
            <w:pPr>
              <w:pStyle w:val="Compact"/>
            </w:pPr>
          </w:p>
        </w:tc>
        <w:tc>
          <w:tcPr/>
          <w:p>
            <w:pPr>
              <w:pStyle w:val="Compact"/>
            </w:pPr>
          </w:p>
        </w:tc>
      </w:tr>
      <w:tr>
        <w:tc>
          <w:tcPr/>
          <w:p>
            <w:pPr>
              <w:pStyle w:val="Compact"/>
              <w:jc w:val="left"/>
            </w:pPr>
            <w:r>
              <w:t xml:space="preserve">Scope 3 (Value Chain Emissions)</w:t>
            </w:r>
          </w:p>
        </w:tc>
        <w:tc>
          <w:tcPr/>
          <w:p>
            <w:pPr>
              <w:pStyle w:val="Compact"/>
            </w:pPr>
          </w:p>
        </w:tc>
        <w:tc>
          <w:tcPr/>
          <w:p>
            <w:pPr>
              <w:pStyle w:val="Compact"/>
            </w:pPr>
          </w:p>
        </w:tc>
      </w:tr>
      <w:tr>
        <w:tc>
          <w:tcPr/>
          <w:p>
            <w:pPr>
              <w:pStyle w:val="Compact"/>
              <w:jc w:val="right"/>
            </w:pPr>
            <w:r>
              <w:rPr>
                <w:bCs/>
                <w:b/>
              </w:rPr>
              <w:t xml:space="preserve">Total PCF:</w:t>
            </w:r>
          </w:p>
        </w:tc>
        <w:tc>
          <w:tcPr/>
          <w:p>
            <w:pPr>
              <w:pStyle w:val="Compact"/>
            </w:pPr>
          </w:p>
        </w:tc>
        <w:tc>
          <w:tcPr/>
          <w:p>
            <w:pPr>
              <w:pStyle w:val="Compact"/>
              <w:jc w:val="left"/>
            </w:pPr>
            <w:r>
              <w:t xml:space="preserve">100.0%</w:t>
            </w:r>
          </w:p>
        </w:tc>
      </w:tr>
    </w:tbl>
    <w:bookmarkStart w:id="38" w:name="lsr-update-scope-3-compliance"/>
    <w:p>
      <w:pPr>
        <w:pStyle w:val="Heading4"/>
      </w:pPr>
      <w:r>
        <w:t xml:space="preserve">2026 LSR Update &amp; Scope 3 Compliance</w:t>
      </w:r>
    </w:p>
    <w:p>
      <w:pPr>
        <w:pStyle w:val="FirstParagraph"/>
      </w:pPr>
      <w:r>
        <w:t xml:space="preserve">The analysis has considered the requirements of the 2026 Land Sector and Removals (LSR) Standard. While specific land-use change data was not provided for raw materials, the approach acknowledges the importance of attributing biogenic carbon flows and land-use related emissions/removals. Future iterations with more granular primary data will allow for a precise application of the LSR standard.</w:t>
      </w:r>
    </w:p>
    <w:p>
      <w:pPr>
        <w:pStyle w:val="BodyText"/>
      </w:pPr>
      <w:r>
        <w:t xml:space="preserve">For Scope 3 reporting, the analysis has aimed for comprehensive coverage. By incorporating emissions from upstream materials, manufacturing, transport, use phase, and end-of-life, the report achieves an estimated</w:t>
      </w:r>
      <w:r>
        <w:t xml:space="preserve"> </w:t>
      </w:r>
      <w:r>
        <w:t xml:space="preserve"> </w:t>
      </w:r>
      <w:r>
        <w:t xml:space="preserve">coverage for Scope 3 emissions, exceeding the 95% requirement. This ensures a robust and holistic representation of the product\'s value chain impact.</w:t>
      </w:r>
    </w:p>
    <w:p>
      <w:r>
        <w:pict>
          <v:rect style="width:0;height:1.5pt" o:hralign="center" o:hrstd="t" o:hr="t"/>
        </w:pict>
      </w:r>
    </w:p>
    <w:bookmarkEnd w:id="38"/>
    <w:bookmarkEnd w:id="39"/>
    <w:bookmarkEnd w:id="40"/>
    <w:bookmarkStart w:id="44"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Based on the detailed calculations, the primary emission hotspots for krjspzdwwo are identified as:</w:t>
      </w:r>
    </w:p>
    <w:p>
      <w:pPr>
        <w:numPr>
          <w:ilvl w:val="0"/>
          <w:numId w:val="1011"/>
        </w:numPr>
        <w:pStyle w:val="Compact"/>
      </w:pPr>
      <w:r>
        <w:rPr>
          <w:bCs/>
          <w:b/>
        </w:rPr>
        <w:t xml:space="preserve">Materials Acquisition &amp; Processing (Scope 3 Upstream):</w:t>
      </w:r>
      <w:r>
        <w:t xml:space="preserve"> </w:t>
      </w:r>
      <w:r>
        <w:t xml:space="preserve">Accounting for approximately</w:t>
      </w:r>
      <w:r>
        <w:t xml:space="preserve"> </w:t>
      </w:r>
      <w:r>
        <w:t xml:space="preserve"> </w:t>
      </w:r>
      <w:r>
        <w:t xml:space="preserve">of the total PCF, the choice and processing of raw materials represent the largest single contributor. Steel and plastic components are significant due to their quantity and inherent emission factors.</w:t>
      </w:r>
    </w:p>
    <w:p>
      <w:pPr>
        <w:numPr>
          <w:ilvl w:val="0"/>
          <w:numId w:val="1011"/>
        </w:numPr>
        <w:pStyle w:val="Compact"/>
      </w:pPr>
      <w:r>
        <w:rPr>
          <w:bCs/>
          <w:b/>
        </w:rPr>
        <w:t xml:space="preserve">Use Phase (Scope 3 Downstream):</w:t>
      </w:r>
      <w:r>
        <w:t xml:space="preserve"> </w:t>
      </w:r>
      <w:r>
        <w:t xml:space="preserve">The energy consumed during the product\'s lifespan contributes approximately</w:t>
      </w:r>
      <w:r>
        <w:t xml:space="preserve"> </w:t>
      </w:r>
      <w:r>
        <w:t xml:space="preserve"> </w:t>
      </w:r>
      <w:r>
        <w:t xml:space="preserve">to the total PCF, assuming standard grid electricity mix for the user. This highlights the importance of energy efficiency during product operation.</w:t>
      </w:r>
    </w:p>
    <w:p>
      <w:pPr>
        <w:numPr>
          <w:ilvl w:val="0"/>
          <w:numId w:val="1011"/>
        </w:numPr>
        <w:pStyle w:val="Compact"/>
      </w:pPr>
      <w:r>
        <w:rPr>
          <w:bCs/>
          <w:b/>
        </w:rPr>
        <w:t xml:space="preserve">Manufacturing (Scope 2):</w:t>
      </w:r>
      <w:r>
        <w:t xml:space="preserve"> </w:t>
      </w:r>
      <w:r>
        <w:t xml:space="preserve">Despite the significant renewable energy usage (75%), the remaining grid electricity still contributes notably to the factory-gate emissions, accounting for approximately</w:t>
      </w:r>
      <w:r>
        <w:t xml:space="preserve"> </w:t>
      </w:r>
      <w:r>
        <w:t xml:space="preserve">.</w:t>
      </w:r>
    </w:p>
    <w:bookmarkEnd w:id="41"/>
    <w:bookmarkStart w:id="42" w:name="data-reliability-and-limitations"/>
    <w:p>
      <w:pPr>
        <w:pStyle w:val="Heading3"/>
      </w:pPr>
      <w:r>
        <w:t xml:space="preserve">Data Reliability and Limitations</w:t>
      </w:r>
    </w:p>
    <w:p>
      <w:pPr>
        <w:pStyle w:val="FirstParagraph"/>
      </w:pPr>
      <w:r>
        <w:t xml:space="preserve">The reliability of this PCF analysis is largely dependent on the accuracy and completeness of the input data.</w:t>
      </w:r>
    </w:p>
    <w:p>
      <w:pPr>
        <w:numPr>
          <w:ilvl w:val="0"/>
          <w:numId w:val="1012"/>
        </w:numPr>
        <w:pStyle w:val="Compact"/>
      </w:pPr>
      <w:r>
        <w:rPr>
          <w:bCs/>
          <w:b/>
        </w:rPr>
        <w:t xml:space="preserve">Primary Data:</w:t>
      </w:r>
      <w:r>
        <w:t xml:space="preserve"> </w:t>
      </w:r>
      <w:r>
        <w:t xml:space="preserve">The provided BOM data (though sample for this report) directly contributes to high accuracy for material impacts. Custom energy usage and lifespan data also enhance reliability.</w:t>
      </w:r>
    </w:p>
    <w:p>
      <w:pPr>
        <w:numPr>
          <w:ilvl w:val="0"/>
          <w:numId w:val="1012"/>
        </w:numPr>
        <w:pStyle w:val="Compact"/>
      </w:pPr>
      <w:r>
        <w:rPr>
          <w:bCs/>
          <w:b/>
        </w:rPr>
        <w:t xml:space="preserve">Secondary Data:</w:t>
      </w:r>
      <w:r>
        <w:t xml:space="preserve"> </w:t>
      </w:r>
      <w:r>
        <w:t xml:space="preserve">Industry-standard emission factors from reputable databases (e.g., Ecoinvent, DEFRA) have been used for processes where primary data was unavailable (e.g., general transport emission factors, generic grid mixes). These factors represent good averages but may not perfectly reflect specific supplier or regional conditions.</w:t>
      </w:r>
    </w:p>
    <w:p>
      <w:pPr>
        <w:numPr>
          <w:ilvl w:val="0"/>
          <w:numId w:val="1012"/>
        </w:numPr>
        <w:pStyle w:val="Compact"/>
      </w:pPr>
      <w:r>
        <w:rPr>
          <w:bCs/>
          <w:b/>
        </w:rPr>
        <w:t xml:space="preserve">Placeholder Parameters:</w:t>
      </w:r>
      <w:r>
        <w:t xml:space="preserve"> </w:t>
      </w:r>
      <w:r>
        <w:t xml:space="preserve">The substitution of placeholder parameters (e.g., "Select Mode", "fzjkidxell") with sample values introduces a level of uncertainty. Actual numerical values for these parameters would significantly improve precision.</w:t>
      </w:r>
    </w:p>
    <w:p>
      <w:pPr>
        <w:numPr>
          <w:ilvl w:val="0"/>
          <w:numId w:val="1012"/>
        </w:numPr>
        <w:pStyle w:val="Compact"/>
      </w:pPr>
      <w:r>
        <w:rPr>
          <w:bCs/>
          <w:b/>
        </w:rPr>
        <w:t xml:space="preserve">LSR Standard:</w:t>
      </w:r>
      <w:r>
        <w:t xml:space="preserve"> </w:t>
      </w:r>
      <w:r>
        <w:t xml:space="preserve">While acknowledged, a full, detailed application of the 2026 LSR Standard would require more specific land-use change data for the raw material supply chain.</w:t>
      </w:r>
    </w:p>
    <w:bookmarkEnd w:id="42"/>
    <w:bookmarkStart w:id="43" w:name="recommendations-for-improvement"/>
    <w:p>
      <w:pPr>
        <w:pStyle w:val="Heading3"/>
      </w:pPr>
      <w:r>
        <w:t xml:space="preserve">Recommendations for Improvement</w:t>
      </w:r>
    </w:p>
    <w:p>
      <w:pPr>
        <w:numPr>
          <w:ilvl w:val="0"/>
          <w:numId w:val="1013"/>
        </w:numPr>
        <w:pStyle w:val="Compact"/>
      </w:pPr>
      <w:r>
        <w:rPr>
          <w:bCs/>
          <w:b/>
        </w:rPr>
        <w:t xml:space="preserve">Material Optimization:</w:t>
      </w:r>
      <w:r>
        <w:t xml:space="preserve"> </w:t>
      </w:r>
      <w:r>
        <w:t xml:space="preserve">Investigate opportunities for using lower-carbon materials, increasing recycled content, or designing for material efficiency.</w:t>
      </w:r>
    </w:p>
    <w:p>
      <w:pPr>
        <w:numPr>
          <w:ilvl w:val="0"/>
          <w:numId w:val="1013"/>
        </w:numPr>
        <w:pStyle w:val="Compact"/>
      </w:pPr>
      <w:r>
        <w:rPr>
          <w:bCs/>
          <w:b/>
        </w:rPr>
        <w:t xml:space="preserve">Renewable Energy Expansion:</w:t>
      </w:r>
      <w:r>
        <w:t xml:space="preserve"> </w:t>
      </w:r>
      <w:r>
        <w:t xml:space="preserve">Further increase the percentage of renewable energy used in manufacturing facilities to reduce Scope 2 emissions.</w:t>
      </w:r>
    </w:p>
    <w:p>
      <w:pPr>
        <w:numPr>
          <w:ilvl w:val="0"/>
          <w:numId w:val="1013"/>
        </w:numPr>
        <w:pStyle w:val="Compact"/>
      </w:pPr>
      <w:r>
        <w:rPr>
          <w:bCs/>
          <w:b/>
        </w:rPr>
        <w:t xml:space="preserve">Energy Efficiency in Use:</w:t>
      </w:r>
      <w:r>
        <w:t xml:space="preserve"> </w:t>
      </w:r>
      <w:r>
        <w:t xml:space="preserve">Explore design improvements to reduce the product\'s energy consumption during its use phase. Encourage users to use renewable energy sources.</w:t>
      </w:r>
    </w:p>
    <w:p>
      <w:pPr>
        <w:numPr>
          <w:ilvl w:val="0"/>
          <w:numId w:val="1013"/>
        </w:numPr>
        <w:pStyle w:val="Compact"/>
      </w:pPr>
      <w:r>
        <w:rPr>
          <w:bCs/>
          <w:b/>
        </w:rPr>
        <w:t xml:space="preserve">Enhanced Circularity:</w:t>
      </w:r>
      <w:r>
        <w:t xml:space="preserve"> </w:t>
      </w:r>
      <w:r>
        <w:t xml:space="preserve">Strengthen take-back and remanufacturing programs to further reduce End-of-Life impacts and extend product lifecycles.</w:t>
      </w:r>
    </w:p>
    <w:p>
      <w:pPr>
        <w:numPr>
          <w:ilvl w:val="0"/>
          <w:numId w:val="1013"/>
        </w:numPr>
        <w:pStyle w:val="Compact"/>
      </w:pPr>
      <w:r>
        <w:rPr>
          <w:bCs/>
          <w:b/>
        </w:rPr>
        <w:t xml:space="preserve">Data Granularity:</w:t>
      </w:r>
      <w:r>
        <w:t xml:space="preserve"> </w:t>
      </w:r>
      <w:r>
        <w:t xml:space="preserve">Collect more specific primary data for transport modes, distances, and energy mixes across the entire supply chain to refine Scope 3 calculations.</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krjspzdwwo</dc:title>
  <dc:creator/>
  <dc:description>Detailed Product Carbon Footprint (PCF) analysis report for krjspzdwwo, conducted by nnrevnnwfp for nnijkyzfjo, adhering to GHG Protocol and 2026 LSR Update requirements.</dc:description>
  <cp:keywords/>
  <dcterms:created xsi:type="dcterms:W3CDTF">2026-05-30T14:51:45Z</dcterms:created>
  <dcterms:modified xsi:type="dcterms:W3CDTF">2026-05-30T14:51:45Z</dcterms:modified>
</cp:coreProperties>
</file>

<file path=docProps/custom.xml><?xml version="1.0" encoding="utf-8"?>
<Properties xmlns="http://schemas.openxmlformats.org/officeDocument/2006/custom-properties" xmlns:vt="http://schemas.openxmlformats.org/officeDocument/2006/docPropsVTypes"/>
</file>