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krjslkgntq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krjslkgntq</w:t>
      </w:r>
    </w:p>
    <w:p>
      <w:pPr>
        <w:pStyle w:val="BodyText"/>
      </w:pPr>
      <w:r>
        <w:rPr>
          <w:bCs/>
          <w:b/>
        </w:rPr>
        <w:t xml:space="preserve">Company Name:</w:t>
      </w:r>
      <w:r>
        <w:t xml:space="preserve"> </w:t>
      </w:r>
      <w:r>
        <w:t xml:space="preserve">egwxmndjro</w:t>
      </w:r>
    </w:p>
    <w:p>
      <w:pPr>
        <w:pStyle w:val="BodyText"/>
      </w:pPr>
      <w:r>
        <w:rPr>
          <w:bCs/>
          <w:b/>
        </w:rPr>
        <w:t xml:space="preserve">Senior Sustainability Consultant:</w:t>
      </w:r>
      <w:r>
        <w:t xml:space="preserve"> </w:t>
      </w:r>
      <w:r>
        <w:t xml:space="preserve">gywusyugko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provided input parameters and chosen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Tuesday, May 26, 2026</w:t>
      </w:r>
    </w:p>
    <w:p>
      <w:pPr>
        <w:pStyle w:val="BodyText"/>
      </w:pPr>
      <w:r>
        <w:rPr>
          <w:bCs/>
          <w:b/>
        </w:rPr>
        <w:t xml:space="preserve">Senior Sustainability Consultant:</w:t>
      </w:r>
      <w:r>
        <w:t xml:space="preserve"> </w:t>
      </w:r>
      <w:r>
        <w:t xml:space="preserve">gywusyugko</w:t>
      </w:r>
    </w:p>
    <w:p>
      <w:pPr>
        <w:pStyle w:val="BodyText"/>
      </w:pPr>
      <w:r>
        <w:rPr>
          <w:bCs/>
          <w:b/>
        </w:rPr>
        <w:t xml:space="preserve">Company:</w:t>
      </w:r>
      <w:r>
        <w:t xml:space="preserve"> </w:t>
      </w:r>
      <w:r>
        <w:t xml:space="preserve">egwxmndjro</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"krjslkgntq" manufactured by egwxmndjro. As gywusyugko, a Senior Sustainability Consultant specializing in the GHG Protocol, this assessment aims to quantify the greenhouse gas (GHG) emissions associated with the product\'s entire lifecycle, from material acquisition to end-of-life. The analysis strictly adheres to the GHG Protocol\'s Corporate Value Chain (Scope 3) Accounting and Reporting Standard, incorporating the latest 2026 revisions, including the Land Sector and Removals (LSR) Standard and the 95% Scope 3 coverage requirement. This report identifies emission hotspots and provides a foundational understanding for strategic decarbonization efforts.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initial phase of the PCF analysis establishes the boundaries and parameters of the study, ensuring a consistent and relevant assessment of the product\'s environmental impact.</w:t>
      </w:r>
    </w:p>
    <w:p>
      <w:pPr>
        <w:numPr>
          <w:ilvl w:val="0"/>
          <w:numId w:val="1001"/>
        </w:numPr>
        <w:pStyle w:val="Compact"/>
      </w:pPr>
      <w:r>
        <w:rPr>
          <w:bCs/>
          <w:b/>
        </w:rPr>
        <w:t xml:space="preserve">Functional Unit:</w:t>
      </w:r>
      <w:r>
        <w:t xml:space="preserve"> </w:t>
      </w:r>
      <w:r>
        <w:t xml:space="preserve">The reference unit for this analysis is 1.0 unit of "krjslkgntq". All emissions are expressed per this functional unit.</w:t>
      </w:r>
    </w:p>
    <w:p>
      <w:pPr>
        <w:numPr>
          <w:ilvl w:val="0"/>
          <w:numId w:val="1001"/>
        </w:numPr>
        <w:pStyle w:val="Compact"/>
      </w:pPr>
      <w:r>
        <w:rPr>
          <w:bCs/>
          <w:b/>
        </w:rPr>
        <w:t xml:space="preserve">System Boundary:</w:t>
      </w:r>
      <w:r>
        <w:t xml:space="preserve"> </w:t>
      </w:r>
      <w:r>
        <w:t xml:space="preserve">The analysis employs a "factory_gate" system boundary. This typically means emissions are considered from raw material extraction (cradle) up to the point the product leaves the manufacturing facility. However, in alignment with a comprehensive PCF as requested, this report expands beyond the strict "factory_gate" to a "cradle-to-grave" perspective, encompassing raw materials, manufacturing, transport, use phase, and end-of-life, to provide a holistic view of the product\'s impact. This comprehensive approach is crucial for identifying all significant emission sources across the value chain.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specifically the Corporate Accounting and Reporting Standard and the Corporate Value Chain (Scope 3) Accounting and Reporting Standard. This includes adherence to the proposed 2026 updates, such as the Land Sector and Removals (LSR) Standard and the 95% coverage rule for Scope 3 emissions.</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transport distances. Co-product allocation is not applicable for this single product analysis.</w:t>
      </w:r>
    </w:p>
    <w:bookmarkEnd w:id="23"/>
    <w:p>
      <w:r>
        <w:pict>
          <v:rect style="width:0;height:1.5pt" o:hralign="center" o:hrstd="t" o:hr="t"/>
        </w:pict>
      </w:r>
    </w:p>
    <w:bookmarkStart w:id="29" w:name="lifecycle-mapping-data-collection"/>
    <w:p>
      <w:pPr>
        <w:pStyle w:val="Heading2"/>
      </w:pPr>
      <w:r>
        <w:t xml:space="preserve">2. &amp; 3. Lifecycle Mapping &amp; Data Collection</w:t>
      </w:r>
    </w:p>
    <w:p>
      <w:pPr>
        <w:pStyle w:val="FirstParagraph"/>
      </w:pPr>
      <w:r>
        <w:t xml:space="preserve">This section details the lifecycle stages considered and the data points collected for the PCF analysis of "krjslkgntq". Primary data, where provided, is prioritized, and secondary (industry average) data is used for estimation where primary data is unavailable, following best practices for robust GHG accounting.</w:t>
      </w:r>
    </w:p>
    <w:bookmarkStart w:id="24" w:name="X96a6ac282bf4eff7da2412f150d1a8b7acd06c8"/>
    <w:p>
      <w:pPr>
        <w:pStyle w:val="Heading3"/>
      </w:pPr>
      <w:r>
        <w:t xml:space="preserve">Detailed Bill of Materials (BOM) &amp; Material Impact (Scope 3 - Upstream)</w:t>
      </w:r>
    </w:p>
    <w:p>
      <w:pPr>
        <w:pStyle w:val="FirstParagraph"/>
      </w:pPr>
      <w:r>
        <w:t xml:space="preserve">The provided Detailed Bill of Materials (ksqgxihp) is critical for accurately quantifying the embodied emissions from raw materials. The `Total Carbon` for each item, representing its cradle-to-gate emissions, is directly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Emissions:</w:t>
            </w:r>
          </w:p>
        </w:tc>
        <w:tc>
          <w:tcPr/>
          <w:p>
            <w:pPr>
              <w:pStyle w:val="Compact"/>
              <w:jc w:val="left"/>
            </w:pPr>
            <w:r>
              <w:rPr>
                <w:bCs/>
                <w:b/>
              </w:rPr>
              <w:t xml:space="preserve">8.3 kgCO2e</w:t>
            </w:r>
          </w:p>
        </w:tc>
      </w:tr>
    </w:tbl>
    <w:p>
      <w:pPr>
        <w:pStyle w:val="BodyText"/>
      </w:pPr>
      <w:r>
        <w:t xml:space="preserve">Total raw material mass for transport calculations (sum of kg units from BOM): 0.5 + 0.3 + 0.2 + 0.1 = 1.1 kg. For simplicity and conservatism, an illustrative product weight of 1.5 kg is used for transport calculations.</w:t>
      </w:r>
    </w:p>
    <w:bookmarkEnd w:id="24"/>
    <w:bookmarkStart w:id="25" w:name="production-phase-data-scope-1-2"/>
    <w:p>
      <w:pPr>
        <w:pStyle w:val="Heading3"/>
      </w:pPr>
      <w:r>
        <w:t xml:space="preserve">Production Phase Data (Scope 1 &amp; 2)</w:t>
      </w:r>
    </w:p>
    <w:p>
      <w:pPr>
        <w:numPr>
          <w:ilvl w:val="0"/>
          <w:numId w:val="1003"/>
        </w:numPr>
        <w:pStyle w:val="Compact"/>
      </w:pPr>
      <w:r>
        <w:rPr>
          <w:bCs/>
          <w:b/>
        </w:rPr>
        <w:t xml:space="preserve">Energy Intensity (kWh/unit):</w:t>
      </w:r>
      <w:r>
        <w:t xml:space="preserve"> </w:t>
      </w:r>
      <w:r>
        <w:t xml:space="preserve">ktfzdukzmu (e.g., 10 kWh/unit)</w:t>
      </w:r>
    </w:p>
    <w:p>
      <w:pPr>
        <w:numPr>
          <w:ilvl w:val="0"/>
          <w:numId w:val="1003"/>
        </w:numPr>
        <w:pStyle w:val="Compact"/>
      </w:pPr>
      <w:r>
        <w:rPr>
          <w:bCs/>
          <w:b/>
        </w:rPr>
        <w:t xml:space="preserve">Renewable Energy Usage:</w:t>
      </w:r>
      <w:r>
        <w:t xml:space="preserve"> </w:t>
      </w:r>
      <w:r>
        <w:t xml:space="preserve">qzpeyvremg (e.g., 70% Renewable)</w:t>
      </w:r>
    </w:p>
    <w:p>
      <w:pPr>
        <w:numPr>
          <w:ilvl w:val="0"/>
          <w:numId w:val="1003"/>
        </w:numPr>
        <w:pStyle w:val="Compact"/>
      </w:pPr>
      <w:r>
        <w:rPr>
          <w:bCs/>
          <w:b/>
        </w:rPr>
        <w:t xml:space="preserve">Geographic Location of Production:</w:t>
      </w:r>
      <w:r>
        <w:t xml:space="preserve"> </w:t>
      </w:r>
      <w:r>
        <w:t xml:space="preserve">China</w:t>
      </w:r>
    </w:p>
    <w:p>
      <w:pPr>
        <w:numPr>
          <w:ilvl w:val="0"/>
          <w:numId w:val="1003"/>
        </w:numPr>
        <w:pStyle w:val="Compact"/>
      </w:pPr>
      <w:r>
        <w:rPr>
          <w:bCs/>
          <w:b/>
        </w:rPr>
        <w:t xml:space="preserve">Scope 1 (Direct Emissions):</w:t>
      </w:r>
      <w:r>
        <w:t xml:space="preserve"> </w:t>
      </w:r>
      <w:r>
        <w:t xml:space="preserve">Assumed to be negligible for typical product assembly without significant on-site combustion, or covered by the electricity mix. An illustrative value is included for minor direct emissions.</w:t>
      </w:r>
    </w:p>
    <w:bookmarkEnd w:id="25"/>
    <w:bookmarkStart w:id="26" w:name="X868c37c7a6a42bd7152ce7cd46aff1eec36c0bd"/>
    <w:p>
      <w:pPr>
        <w:pStyle w:val="Heading3"/>
      </w:pPr>
      <w:r>
        <w:t xml:space="preserve">Logistics Data (Scope 3 - Upstream &amp; Downstream)</w:t>
      </w:r>
    </w:p>
    <w:p>
      <w:pPr>
        <w:numPr>
          <w:ilvl w:val="0"/>
          <w:numId w:val="1004"/>
        </w:numPr>
        <w:pStyle w:val="Compact"/>
      </w:pPr>
      <w:r>
        <w:rPr>
          <w:bCs/>
          <w:b/>
        </w:rPr>
        <w:t xml:space="preserve">Transport Mode:</w:t>
      </w:r>
      <w:r>
        <w:t xml:space="preserve"> </w:t>
      </w:r>
      <w:r>
        <w:t xml:space="preserve">Select Mode (e.g., Sea Freight)</w:t>
      </w:r>
    </w:p>
    <w:p>
      <w:pPr>
        <w:numPr>
          <w:ilvl w:val="0"/>
          <w:numId w:val="1004"/>
        </w:numPr>
        <w:pStyle w:val="Compact"/>
      </w:pPr>
      <w:r>
        <w:rPr>
          <w:bCs/>
          <w:b/>
        </w:rPr>
        <w:t xml:space="preserve">Transport Distance:</w:t>
      </w:r>
      <w:r>
        <w:t xml:space="preserve"> </w:t>
      </w:r>
      <w:r>
        <w:t xml:space="preserve">dhjqiepkiz (e.g., 5000 km)</w:t>
      </w:r>
    </w:p>
    <w:p>
      <w:pPr>
        <w:numPr>
          <w:ilvl w:val="0"/>
          <w:numId w:val="1004"/>
        </w:numPr>
        <w:pStyle w:val="Compact"/>
      </w:pPr>
      <w:r>
        <w:rPr>
          <w:bCs/>
          <w:b/>
        </w:rPr>
        <w:t xml:space="preserve">Last-Mile Delivery Channel:</w:t>
      </w:r>
      <w:r>
        <w:t xml:space="preserve"> </w:t>
      </w:r>
      <w:r>
        <w:t xml:space="preserve">Delivery Type (e.g., Parcel Service)</w:t>
      </w:r>
    </w:p>
    <w:p>
      <w:pPr>
        <w:numPr>
          <w:ilvl w:val="0"/>
          <w:numId w:val="1004"/>
        </w:numPr>
        <w:pStyle w:val="Compact"/>
      </w:pPr>
      <w:r>
        <w:rPr>
          <w:bCs/>
          <w:b/>
        </w:rPr>
        <w:t xml:space="preserve">Supply Chain Focus:</w:t>
      </w:r>
      <w:r>
        <w:t xml:space="preserve"> </w:t>
      </w:r>
      <w:r>
        <w:t xml:space="preserve">Europe Focused, influencing choice of general emission factors.</w:t>
      </w:r>
    </w:p>
    <w:bookmarkEnd w:id="26"/>
    <w:bookmarkStart w:id="27" w:name="use-phase-data-scope-3---downstream"/>
    <w:p>
      <w:pPr>
        <w:pStyle w:val="Heading3"/>
      </w:pPr>
      <w:r>
        <w:t xml:space="preserve">Use Phase Data (Scope 3 - Downstream)</w:t>
      </w:r>
    </w:p>
    <w:p>
      <w:pPr>
        <w:pStyle w:val="FirstParagraph"/>
      </w:pPr>
      <w:r>
        <w:t xml:space="preserve">In line with the 2026 GHG Protocol revisions moving towards annualized, stock-based accounting, the use phase considers the product\'s energy consumption over its expected lifespan.</w:t>
      </w:r>
    </w:p>
    <w:p>
      <w:pPr>
        <w:numPr>
          <w:ilvl w:val="0"/>
          <w:numId w:val="1005"/>
        </w:numPr>
        <w:pStyle w:val="Compact"/>
      </w:pPr>
      <w:r>
        <w:rPr>
          <w:bCs/>
          <w:b/>
        </w:rPr>
        <w:t xml:space="preserve">Product Lifespan:</w:t>
      </w:r>
      <w:r>
        <w:t xml:space="preserve"> </w:t>
      </w:r>
      <w:r>
        <w:t xml:space="preserve">nekeodwwwo (e.g., 5 years)</w:t>
      </w:r>
    </w:p>
    <w:p>
      <w:pPr>
        <w:numPr>
          <w:ilvl w:val="0"/>
          <w:numId w:val="1005"/>
        </w:numPr>
        <w:pStyle w:val="Compact"/>
      </w:pPr>
      <w:r>
        <w:rPr>
          <w:bCs/>
          <w:b/>
        </w:rPr>
        <w:t xml:space="preserve">Energy Consumption in Use:</w:t>
      </w:r>
      <w:r>
        <w:t xml:space="preserve"> </w:t>
      </w:r>
      <w:r>
        <w:t xml:space="preserve">wmiululser (e.g., 20 kWh/year)</w:t>
      </w:r>
    </w:p>
    <w:bookmarkEnd w:id="27"/>
    <w:bookmarkStart w:id="28"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w:t>
      </w:r>
      <w:r>
        <w:t xml:space="preserve"> </w:t>
      </w:r>
      <w:r>
        <w:t xml:space="preserve">xlyhzvfksm (e.g., 85%)</w:t>
      </w:r>
    </w:p>
    <w:p>
      <w:pPr>
        <w:numPr>
          <w:ilvl w:val="0"/>
          <w:numId w:val="1006"/>
        </w:numPr>
        <w:pStyle w:val="Compact"/>
      </w:pPr>
      <w:r>
        <w:rPr>
          <w:bCs/>
          <w:b/>
        </w:rPr>
        <w:t xml:space="preserve">Circular/Take-back Programs:</w:t>
      </w:r>
      <w:r>
        <w:t xml:space="preserve"> </w:t>
      </w:r>
      <w:r>
        <w:t xml:space="preserve">hzdqhkpkko (e.g., Product buy-back, Material recovery) - These programs are noted for their potential to reduce EoL impacts, though their specific quantified impact is complex without more detailed data.</w:t>
      </w:r>
    </w:p>
    <w:bookmarkEnd w:id="28"/>
    <w:bookmarkEnd w:id="29"/>
    <w:p>
      <w:r>
        <w:pict>
          <v:rect style="width:0;height:1.5pt" o:hralign="center" o:hrstd="t" o:hr="t"/>
        </w:pict>
      </w:r>
    </w:p>
    <w:bookmarkStart w:id="44"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primarily from Ecoinvent and DEFRA databases, are used as illustrative values, aligning with the "Europe Focused" supply chain.</w:t>
      </w:r>
    </w:p>
    <w:bookmarkStart w:id="30" w:name="Xa45914f2fdbdfb11902f6df62f6b50be77b8035"/>
    <w:p>
      <w:pPr>
        <w:pStyle w:val="Heading3"/>
      </w:pPr>
      <w:r>
        <w:t xml:space="preserve">Assumptions &amp; Illustrative Emission Factors:</w:t>
      </w:r>
    </w:p>
    <w:p>
      <w:pPr>
        <w:numPr>
          <w:ilvl w:val="0"/>
          <w:numId w:val="1007"/>
        </w:numPr>
        <w:pStyle w:val="Compact"/>
      </w:pPr>
      <w:r>
        <w:rPr>
          <w:bCs/>
          <w:b/>
        </w:rPr>
        <w:t xml:space="preserve">Grid Electricity Emission Factor (Europe Focused, 2026):</w:t>
      </w:r>
      <w:r>
        <w:t xml:space="preserve"> </w:t>
      </w:r>
      <w:r>
        <w:t xml:space="preserve">0.19 kg CO2e/kWh (Based on recent trends and forecasts for the EU, showing a decline in carbon intensity).</w:t>
      </w:r>
    </w:p>
    <w:p>
      <w:pPr>
        <w:numPr>
          <w:ilvl w:val="0"/>
          <w:numId w:val="1007"/>
        </w:numPr>
        <w:pStyle w:val="Compact"/>
      </w:pPr>
      <w:r>
        <w:rPr>
          <w:bCs/>
          <w:b/>
        </w:rPr>
        <w:t xml:space="preserve">Sea Freight Emission Factor:</w:t>
      </w:r>
      <w:r>
        <w:t xml:space="preserve"> </w:t>
      </w:r>
      <w:r>
        <w:t xml:space="preserve">0.01 kg CO2e/tonne-km (illustrative).</w:t>
      </w:r>
    </w:p>
    <w:p>
      <w:pPr>
        <w:numPr>
          <w:ilvl w:val="0"/>
          <w:numId w:val="1007"/>
        </w:numPr>
        <w:pStyle w:val="Compact"/>
      </w:pPr>
      <w:r>
        <w:rPr>
          <w:bCs/>
          <w:b/>
        </w:rPr>
        <w:t xml:space="preserve">Road Transport (HGV) Emission Factor:</w:t>
      </w:r>
      <w:r>
        <w:t xml:space="preserve"> </w:t>
      </w:r>
      <w:r>
        <w:t xml:space="preserve">0.1 kg CO2e/tonne-km (illustrative).</w:t>
      </w:r>
    </w:p>
    <w:p>
      <w:pPr>
        <w:numPr>
          <w:ilvl w:val="0"/>
          <w:numId w:val="1007"/>
        </w:numPr>
        <w:pStyle w:val="Compact"/>
      </w:pPr>
      <w:r>
        <w:rPr>
          <w:bCs/>
          <w:b/>
        </w:rPr>
        <w:t xml:space="preserve">Last-Mile Delivery (Van/Parcel) Emission Factor:</w:t>
      </w:r>
      <w:r>
        <w:t xml:space="preserve"> </w:t>
      </w:r>
      <w:r>
        <w:t xml:space="preserve">0.3 kg CO2e/km (per unit, illustrative).</w:t>
      </w:r>
    </w:p>
    <w:p>
      <w:pPr>
        <w:numPr>
          <w:ilvl w:val="0"/>
          <w:numId w:val="1007"/>
        </w:numPr>
        <w:pStyle w:val="Compact"/>
      </w:pPr>
      <w:r>
        <w:rPr>
          <w:bCs/>
          <w:b/>
        </w:rPr>
        <w:t xml:space="preserve">Waste to Landfill Emission Factor:</w:t>
      </w:r>
      <w:r>
        <w:t xml:space="preserve"> </w:t>
      </w:r>
      <w:r>
        <w:t xml:space="preserve">1.0 kg CO2e/kg (for mixed waste, illustrative).</w:t>
      </w:r>
    </w:p>
    <w:p>
      <w:pPr>
        <w:numPr>
          <w:ilvl w:val="0"/>
          <w:numId w:val="1007"/>
        </w:numPr>
        <w:pStyle w:val="Compact"/>
      </w:pPr>
      <w:r>
        <w:rPr>
          <w:bCs/>
          <w:b/>
        </w:rPr>
        <w:t xml:space="preserve">Product Weight for Transport:</w:t>
      </w:r>
      <w:r>
        <w:t xml:space="preserve"> </w:t>
      </w:r>
      <w:r>
        <w:t xml:space="preserve">1.5 kg (illustrative total product weight).</w:t>
      </w:r>
    </w:p>
    <w:p>
      <w:pPr>
        <w:numPr>
          <w:ilvl w:val="0"/>
          <w:numId w:val="1007"/>
        </w:numPr>
        <w:pStyle w:val="Compact"/>
      </w:pPr>
      <w:r>
        <w:rPr>
          <w:bCs/>
          <w:b/>
        </w:rPr>
        <w:t xml:space="preserve">Last-Mile Distance:</w:t>
      </w:r>
      <w:r>
        <w:t xml:space="preserve"> </w:t>
      </w:r>
      <w:r>
        <w:t xml:space="preserve">50 km (illustrative).</w:t>
      </w:r>
    </w:p>
    <w:bookmarkEnd w:id="30"/>
    <w:bookmarkStart w:id="41" w:name="Xed9244d3591b821d71600765e358dd288dae521"/>
    <w:p>
      <w:pPr>
        <w:pStyle w:val="Heading3"/>
      </w:pPr>
      <w:r>
        <w:t xml:space="preserve">Calculations by Lifecycle Stage and Scope:</w:t>
      </w:r>
    </w:p>
    <w:bookmarkStart w:id="33" w:name="scope-3-upstream-emissions-value-chain"/>
    <w:p>
      <w:pPr>
        <w:pStyle w:val="Heading4"/>
      </w:pPr>
      <w:r>
        <w:t xml:space="preserve">Scope 3: Upstream Emissions (Value Chain)</w:t>
      </w:r>
    </w:p>
    <w:p>
      <w:pPr>
        <w:pStyle w:val="FirstParagraph"/>
      </w:pPr>
      <w:r>
        <w:t xml:space="preserve">These emissions occur outside of egwxmndjro\'s direct control but are related to its purchased goods and services.</w:t>
      </w:r>
    </w:p>
    <w:bookmarkStart w:id="31" w:name="X56f81b443ebd89f3dffcc02b9be361636e6d140"/>
    <w:p>
      <w:pPr>
        <w:pStyle w:val="Heading5"/>
      </w:pPr>
      <w:r>
        <w:t xml:space="preserve">Material Acquisition &amp; Pre-processing (Category 1: Purchased Goods and Services)</w:t>
      </w:r>
    </w:p>
    <w:p>
      <w:pPr>
        <w:pStyle w:val="FirstParagraph"/>
      </w:pPr>
      <w:r>
        <w:t xml:space="preserve">Based on the provided BOM (ksqgxihp):</w:t>
      </w:r>
    </w:p>
    <w:p>
      <w:pPr>
        <w:pStyle w:val="BodyText"/>
      </w:pPr>
      <w:r>
        <w:t xml:space="preserve">Total Material Emissions = 2.5 (Aluminum) + 0.6 (Plastic) + 1.5 (PCB) + 3.6 (Battery) + 0.1 (Packaging) =</w:t>
      </w:r>
      <w:r>
        <w:t xml:space="preserve"> </w:t>
      </w:r>
      <w:r>
        <w:rPr>
          <w:bCs/>
          <w:b/>
        </w:rPr>
        <w:t xml:space="preserve">8.3 kgCO2e</w:t>
      </w:r>
    </w:p>
    <w:bookmarkEnd w:id="31"/>
    <w:bookmarkStart w:id="32" w:name="X827cfe9d50289e319c2652bfd7dd79182d79791"/>
    <w:p>
      <w:pPr>
        <w:pStyle w:val="Heading5"/>
      </w:pPr>
      <w:r>
        <w:t xml:space="preserve">Upstream Transportation (Category 4: Upstream Transportation and Distribution)</w:t>
      </w:r>
    </w:p>
    <w:p>
      <w:pPr>
        <w:pStyle w:val="FirstParagraph"/>
      </w:pPr>
      <w:r>
        <w:t xml:space="preserve">Assuming `dhjqiepkiz` = "5000 km" and `Select Mode` = "Sea Freight". For simplicity, let\'s assume 50% inbound transport distance for materials.</w:t>
      </w:r>
    </w:p>
    <w:p>
      <w:pPr>
        <w:pStyle w:val="BodyText"/>
      </w:pPr>
      <w:r>
        <w:t xml:space="preserve">Inbound Transport Distance = 5000 km / 2 = 2500 km</w:t>
      </w:r>
      <w:r>
        <w:br/>
      </w:r>
      <w:r>
        <w:t xml:space="preserve">Mode Emission Factor (Sea Freight) = 0.01 kg CO2e/tonne-km</w:t>
      </w:r>
      <w:r>
        <w:br/>
      </w:r>
      <w:r>
        <w:t xml:space="preserve">Product Weight = 1.5 kg = 0.0015 tonne</w:t>
      </w:r>
      <w:r>
        <w:br/>
      </w:r>
      <w:r>
        <w:t xml:space="preserve">Inbound Transport Emissions = 2500 km × 0.0015 tonne × 0.01 kg CO2e/tonne-km =</w:t>
      </w:r>
      <w:r>
        <w:t xml:space="preserve"> </w:t>
      </w:r>
      <w:r>
        <w:rPr>
          <w:bCs/>
          <w:b/>
        </w:rPr>
        <w:t xml:space="preserve">0.0375 kgCO2e</w:t>
      </w:r>
    </w:p>
    <w:bookmarkEnd w:id="32"/>
    <w:bookmarkEnd w:id="33"/>
    <w:bookmarkStart w:id="34" w:name="scope-1-direct-emissions"/>
    <w:p>
      <w:pPr>
        <w:pStyle w:val="Heading4"/>
      </w:pPr>
      <w:r>
        <w:t xml:space="preserve">Scope 1: Direct Emissions</w:t>
      </w:r>
    </w:p>
    <w:p>
      <w:pPr>
        <w:pStyle w:val="FirstParagraph"/>
      </w:pPr>
      <w:r>
        <w:t xml:space="preserve">Emissions from sources owned or controlled by egwxmndjro.</w:t>
      </w:r>
    </w:p>
    <w:p>
      <w:pPr>
        <w:pStyle w:val="BodyText"/>
      </w:pPr>
      <w:r>
        <w:t xml:space="preserve">Direct Production Emissions (e.g., minor on-site fuel combustion) =</w:t>
      </w:r>
      <w:r>
        <w:t xml:space="preserve"> </w:t>
      </w:r>
      <w:r>
        <w:rPr>
          <w:bCs/>
          <w:b/>
        </w:rPr>
        <w:t xml:space="preserve">0.01 kgCO2e</w:t>
      </w:r>
      <w:r>
        <w:t xml:space="preserve"> </w:t>
      </w:r>
      <w:r>
        <w:t xml:space="preserve">(Illustrative)</w:t>
      </w:r>
    </w:p>
    <w:bookmarkEnd w:id="34"/>
    <w:bookmarkStart w:id="35" w:name="scope-2-energy-indirect-emissions"/>
    <w:p>
      <w:pPr>
        <w:pStyle w:val="Heading4"/>
      </w:pPr>
      <w:r>
        <w:t xml:space="preserve">Scope 2: Energy Indirect Emissions</w:t>
      </w:r>
    </w:p>
    <w:p>
      <w:pPr>
        <w:pStyle w:val="FirstParagraph"/>
      </w:pPr>
      <w:r>
        <w:t xml:space="preserve">Emissions from the generation of purchased electricity consumed by egwxmndjro.</w:t>
      </w:r>
    </w:p>
    <w:p>
      <w:pPr>
        <w:pStyle w:val="BodyText"/>
      </w:pPr>
      <w:r>
        <w:t xml:space="preserve">Assuming `ktfzdukzmu` = "10 kWh/unit" and `qzpeyvremg` = "70% Renewable".</w:t>
      </w:r>
    </w:p>
    <w:p>
      <w:pPr>
        <w:pStyle w:val="BodyText"/>
      </w:pPr>
      <w:r>
        <w:t xml:space="preserve">Energy Intensity = 10 kWh/unit</w:t>
      </w:r>
      <w:r>
        <w:br/>
      </w:r>
      <w:r>
        <w:t xml:space="preserve">Renewable Energy Usage = 70% = 0.70</w:t>
      </w:r>
      <w:r>
        <w:br/>
      </w:r>
      <w:r>
        <w:t xml:space="preserve">Non-Renewable Energy = 10 kWh/unit × (1 - 0.70) = 3 kWh/unit</w:t>
      </w:r>
      <w:r>
        <w:br/>
      </w:r>
      <w:r>
        <w:t xml:space="preserve">Grid Emission Factor (Europe Focused, 2026) = 0.19 kg CO2e/kWh</w:t>
      </w:r>
      <w:r>
        <w:br/>
      </w:r>
      <w:r>
        <w:t xml:space="preserve">Scope 2 Emissions = 3 kWh/unit × 0.19 kg CO2e/kWh =</w:t>
      </w:r>
      <w:r>
        <w:t xml:space="preserve"> </w:t>
      </w:r>
      <w:r>
        <w:rPr>
          <w:bCs/>
          <w:b/>
        </w:rPr>
        <w:t xml:space="preserve">0.57 kgCO2e</w:t>
      </w:r>
    </w:p>
    <w:bookmarkEnd w:id="35"/>
    <w:bookmarkStart w:id="40" w:name="scope-3-downstream-emissions-value-chain"/>
    <w:p>
      <w:pPr>
        <w:pStyle w:val="Heading4"/>
      </w:pPr>
      <w:r>
        <w:t xml:space="preserve">Scope 3: Downstream Emissions (Value Chain)</w:t>
      </w:r>
    </w:p>
    <w:p>
      <w:pPr>
        <w:pStyle w:val="FirstParagraph"/>
      </w:pPr>
      <w:r>
        <w:t xml:space="preserve">These emissions occur from egwxmndjro\'s products after they leave the company\'s control.</w:t>
      </w:r>
    </w:p>
    <w:bookmarkStart w:id="36" w:name="X70ac4363015a18aa7a21c1f382dd5e0940f7678"/>
    <w:p>
      <w:pPr>
        <w:pStyle w:val="Heading5"/>
      </w:pPr>
      <w:r>
        <w:t xml:space="preserve">Downstream Transportation (Category 9: Downstream Transportation and Distribution)</w:t>
      </w:r>
    </w:p>
    <w:p>
      <w:pPr>
        <w:pStyle w:val="FirstParagraph"/>
      </w:pPr>
      <w:r>
        <w:t xml:space="preserve">Assuming remaining 50% of `dhjqiepkiz` for outbound transport and `Delivery Type` = "Parcel Service" for last-mile.</w:t>
      </w:r>
      <w:r>
        <w:t xml:space="preserve"> </w:t>
      </w:r>
      <w:r>
        <w:t xml:space="preserve">For simplicity, let\'s assume the "Select Mode" also covers the main outbound transport.</w:t>
      </w:r>
    </w:p>
    <w:p>
      <w:pPr>
        <w:pStyle w:val="BodyText"/>
      </w:pPr>
      <w:r>
        <w:t xml:space="preserve">Outbound Transport Distance = 5000 km / 2 = 2500 km</w:t>
      </w:r>
      <w:r>
        <w:br/>
      </w:r>
      <w:r>
        <w:t xml:space="preserve">Mode Emission Factor (Sea Freight) = 0.01 kg CO2e/tonne-km</w:t>
      </w:r>
      <w:r>
        <w:br/>
      </w:r>
      <w:r>
        <w:t xml:space="preserve">Product Weight = 0.0015 tonne</w:t>
      </w:r>
      <w:r>
        <w:br/>
      </w:r>
      <w:r>
        <w:t xml:space="preserve">Outbound Transport Emissions = 2500 km × 0.0015 tonne × 0.01 kg CO2e/tonne-km =</w:t>
      </w:r>
      <w:r>
        <w:t xml:space="preserve"> </w:t>
      </w:r>
      <w:r>
        <w:rPr>
          <w:bCs/>
          <w:b/>
        </w:rPr>
        <w:t xml:space="preserve">0.0375 kgCO2e</w:t>
      </w:r>
    </w:p>
    <w:bookmarkEnd w:id="36"/>
    <w:bookmarkStart w:id="37" w:name="last-mile-delivery-within-category-9"/>
    <w:p>
      <w:pPr>
        <w:pStyle w:val="Heading5"/>
      </w:pPr>
      <w:r>
        <w:t xml:space="preserve">Last-Mile Delivery (within Category 9)</w:t>
      </w:r>
    </w:p>
    <w:p>
      <w:pPr>
        <w:pStyle w:val="FirstParagraph"/>
      </w:pPr>
      <w:r>
        <w:t xml:space="preserve">Last-Mile Distance = 50 km</w:t>
      </w:r>
      <w:r>
        <w:br/>
      </w:r>
      <w:r>
        <w:t xml:space="preserve">Last-Mile Emission Factor (per unit) = 0.3 kg CO2e/km</w:t>
      </w:r>
      <w:r>
        <w:br/>
      </w:r>
      <w:r>
        <w:t xml:space="preserve">Last-Mile Delivery Emissions = 50 km × 0.3 kg CO2e/km =</w:t>
      </w:r>
      <w:r>
        <w:t xml:space="preserve"> </w:t>
      </w:r>
      <w:r>
        <w:rPr>
          <w:bCs/>
          <w:b/>
        </w:rPr>
        <w:t xml:space="preserve">15.0 kgCO2e</w:t>
      </w:r>
    </w:p>
    <w:bookmarkEnd w:id="37"/>
    <w:bookmarkStart w:id="38" w:name="X8d12bf184da61ed1b86eb215c14cb92288143a6"/>
    <w:p>
      <w:pPr>
        <w:pStyle w:val="Heading5"/>
      </w:pPr>
      <w:r>
        <w:t xml:space="preserve">Use Phase (Category 11: Use of Sold Products)</w:t>
      </w:r>
    </w:p>
    <w:p>
      <w:pPr>
        <w:pStyle w:val="FirstParagraph"/>
      </w:pPr>
      <w:r>
        <w:t xml:space="preserve">Assuming `nekeodwwwo` = "5 years" and `wmiululser` = "20 kWh/year".</w:t>
      </w:r>
    </w:p>
    <w:p>
      <w:pPr>
        <w:pStyle w:val="BodyText"/>
      </w:pPr>
      <w:r>
        <w:t xml:space="preserve">Product Lifespan = 5 years</w:t>
      </w:r>
      <w:r>
        <w:br/>
      </w:r>
      <w:r>
        <w:t xml:space="preserve">Energy Consumption in Use = 20 kWh/year</w:t>
      </w:r>
      <w:r>
        <w:br/>
      </w:r>
      <w:r>
        <w:t xml:space="preserve">Grid Emission Factor (Europe Focused, 2026) = 0.19 kg CO2e/kWh</w:t>
      </w:r>
      <w:r>
        <w:br/>
      </w:r>
      <w:r>
        <w:t xml:space="preserve">Use Phase Emissions = 5 years × 20 kWh/year × 0.19 kg CO2e/kWh =</w:t>
      </w:r>
      <w:r>
        <w:t xml:space="preserve"> </w:t>
      </w:r>
      <w:r>
        <w:rPr>
          <w:bCs/>
          <w:b/>
        </w:rPr>
        <w:t xml:space="preserve">19.0 kgCO2e</w:t>
      </w:r>
    </w:p>
    <w:bookmarkEnd w:id="38"/>
    <w:bookmarkStart w:id="39" w:name="Xc4e5496ea9c23c4fd5f1a2af076b5b92fcc73fd"/>
    <w:p>
      <w:pPr>
        <w:pStyle w:val="Heading5"/>
      </w:pPr>
      <w:r>
        <w:t xml:space="preserve">End-of-Life Treatment (Category 12: End-of-Life Treatment of Sold Products)</w:t>
      </w:r>
    </w:p>
    <w:p>
      <w:pPr>
        <w:pStyle w:val="FirstParagraph"/>
      </w:pPr>
      <w:r>
        <w:t xml:space="preserve">Assuming `xlyhzvfksm` = "85%".</w:t>
      </w:r>
    </w:p>
    <w:p>
      <w:pPr>
        <w:pStyle w:val="BodyText"/>
      </w:pPr>
      <w:r>
        <w:t xml:space="preserve">Recyclability Percentage = 85% = 0.85</w:t>
      </w:r>
      <w:r>
        <w:br/>
      </w:r>
      <w:r>
        <w:t xml:space="preserve">Mass to Landfill = 1.5 kg × (1 - 0.85) = 0.225 kg</w:t>
      </w:r>
      <w:r>
        <w:br/>
      </w:r>
      <w:r>
        <w:t xml:space="preserve">Waste to Landfill Emission Factor = 1.0 kg CO2e/kg</w:t>
      </w:r>
      <w:r>
        <w:br/>
      </w:r>
      <w:r>
        <w:t xml:space="preserve">EoL Emissions = 0.225 kg × 1.0 kg CO2e/kg =</w:t>
      </w:r>
      <w:r>
        <w:t xml:space="preserve"> </w:t>
      </w:r>
      <w:r>
        <w:rPr>
          <w:bCs/>
          <w:b/>
        </w:rPr>
        <w:t xml:space="preserve">0.225 kgCO2e</w:t>
      </w:r>
    </w:p>
    <w:p>
      <w:pPr>
        <w:pStyle w:val="BodyText"/>
      </w:pPr>
      <w:r>
        <w:t xml:space="preserve">Circular/Take-back Programs (hzdqhkpkko): "Product buy-back, Material recovery" are in place. These programs aim to reduce waste and promote material reuse, effectively lowering the actual mass sent to landfill or enabling higher recycling rates than estimated. While not directly quantified in this simplified model, their presence mitigates EoL impacts.</w:t>
      </w:r>
    </w:p>
    <w:bookmarkEnd w:id="39"/>
    <w:bookmarkEnd w:id="40"/>
    <w:bookmarkEnd w:id="41"/>
    <w:bookmarkStart w:id="42"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process emissions</w:t>
            </w:r>
          </w:p>
        </w:tc>
        <w:tc>
          <w:tcPr/>
          <w:p>
            <w:pPr>
              <w:pStyle w:val="Compact"/>
              <w:jc w:val="left"/>
            </w:pPr>
            <w:r>
              <w:t xml:space="preserve">0.01</w:t>
            </w:r>
          </w:p>
        </w:tc>
        <w:tc>
          <w:tcPr/>
          <w:p>
            <w:pPr>
              <w:pStyle w:val="Compact"/>
              <w:jc w:val="left"/>
            </w:pPr>
            <w:r>
              <w:t xml:space="preserve">0.02%</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production</w:t>
            </w:r>
          </w:p>
        </w:tc>
        <w:tc>
          <w:tcPr/>
          <w:p>
            <w:pPr>
              <w:pStyle w:val="Compact"/>
              <w:jc w:val="left"/>
            </w:pPr>
            <w:r>
              <w:t xml:space="preserve">0.57</w:t>
            </w:r>
          </w:p>
        </w:tc>
        <w:tc>
          <w:tcPr/>
          <w:p>
            <w:pPr>
              <w:pStyle w:val="Compact"/>
              <w:jc w:val="left"/>
            </w:pPr>
            <w:r>
              <w:t xml:space="preserve">1.22%</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&amp; components</w:t>
            </w:r>
          </w:p>
        </w:tc>
        <w:tc>
          <w:tcPr/>
          <w:p>
            <w:pPr>
              <w:pStyle w:val="Compact"/>
              <w:jc w:val="left"/>
            </w:pPr>
            <w:r>
              <w:t xml:space="preserve">8.30</w:t>
            </w:r>
          </w:p>
        </w:tc>
        <w:tc>
          <w:tcPr/>
          <w:p>
            <w:pPr>
              <w:pStyle w:val="Compact"/>
              <w:jc w:val="left"/>
            </w:pPr>
            <w:r>
              <w:t xml:space="preserve">17.75%</w:t>
            </w:r>
          </w:p>
        </w:tc>
      </w:tr>
      <w:tr>
        <w:tc>
          <w:tcPr>
            <w:gridSpan w:val="1"/>
            <w:vMerge w:val="continue"/>
          </w:tcPr>
          <w:p>
            <w:pPr/>
          </w:p>
        </w:tc>
        <w:tc>
          <w:tcPr/>
          <w:p>
            <w:pPr>
              <w:pStyle w:val="Compact"/>
              <w:jc w:val="left"/>
            </w:pPr>
            <w:r>
              <w:t xml:space="preserve">Category 4: Upstream T&amp;D</w:t>
            </w:r>
          </w:p>
        </w:tc>
        <w:tc>
          <w:tcPr/>
          <w:p>
            <w:pPr>
              <w:pStyle w:val="Compact"/>
              <w:jc w:val="left"/>
            </w:pPr>
            <w:r>
              <w:t xml:space="preserve">Inbound transport of materials</w:t>
            </w:r>
          </w:p>
        </w:tc>
        <w:tc>
          <w:tcPr/>
          <w:p>
            <w:pPr>
              <w:pStyle w:val="Compact"/>
              <w:jc w:val="left"/>
            </w:pPr>
            <w:r>
              <w:t xml:space="preserve">0.0375</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T&amp;D (Primary)</w:t>
            </w:r>
          </w:p>
        </w:tc>
        <w:tc>
          <w:tcPr/>
          <w:p>
            <w:pPr>
              <w:pStyle w:val="Compact"/>
              <w:jc w:val="left"/>
            </w:pPr>
            <w:r>
              <w:t xml:space="preserve">Outbound transport to distribution hub</w:t>
            </w:r>
          </w:p>
        </w:tc>
        <w:tc>
          <w:tcPr/>
          <w:p>
            <w:pPr>
              <w:pStyle w:val="Compact"/>
              <w:jc w:val="left"/>
            </w:pPr>
            <w:r>
              <w:t xml:space="preserve">0.0375</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T&amp;D (Last-Mile)</w:t>
            </w:r>
          </w:p>
        </w:tc>
        <w:tc>
          <w:tcPr/>
          <w:p>
            <w:pPr>
              <w:pStyle w:val="Compact"/>
              <w:jc w:val="left"/>
            </w:pPr>
            <w:r>
              <w:t xml:space="preserve">Last-mile delivery to customer</w:t>
            </w:r>
          </w:p>
        </w:tc>
        <w:tc>
          <w:tcPr/>
          <w:p>
            <w:pPr>
              <w:pStyle w:val="Compact"/>
              <w:jc w:val="left"/>
            </w:pPr>
            <w:r>
              <w:t xml:space="preserve">15.00</w:t>
            </w:r>
          </w:p>
        </w:tc>
        <w:tc>
          <w:tcPr/>
          <w:p>
            <w:pPr>
              <w:pStyle w:val="Compact"/>
              <w:jc w:val="left"/>
            </w:pPr>
            <w:r>
              <w:t xml:space="preserve">32.10%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19.00</w:t>
            </w:r>
          </w:p>
        </w:tc>
        <w:tc>
          <w:tcPr/>
          <w:p>
            <w:pPr>
              <w:pStyle w:val="Compact"/>
              <w:jc w:val="left"/>
            </w:pPr>
            <w:r>
              <w:t xml:space="preserve">40.64%</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Disposal/recycling of product</w:t>
            </w:r>
          </w:p>
        </w:tc>
        <w:tc>
          <w:tcPr/>
          <w:p>
            <w:pPr>
              <w:pStyle w:val="Compact"/>
              <w:jc w:val="left"/>
            </w:pPr>
            <w:r>
              <w:t xml:space="preserve">0.225</w:t>
            </w:r>
          </w:p>
        </w:tc>
        <w:tc>
          <w:tcPr/>
          <w:p>
            <w:pPr>
              <w:pStyle w:val="Compact"/>
              <w:jc w:val="left"/>
            </w:pPr>
            <w:r>
              <w:t xml:space="preserve">0.48%</w:t>
            </w:r>
          </w:p>
        </w:tc>
      </w:tr>
      <w:tr>
        <w:tc>
          <w:tcPr>
            <w:gridSpan w:val="3"/>
          </w:tcPr>
          <w:p>
            <w:pPr>
              <w:pStyle w:val="Compact"/>
              <w:jc w:val="right"/>
            </w:pPr>
            <w:r>
              <w:rPr>
                <w:bCs/>
                <w:b/>
              </w:rPr>
              <w:t xml:space="preserve">Total Product Carbon Footprint:</w:t>
            </w:r>
          </w:p>
        </w:tc>
        <w:tc>
          <w:tcPr/>
          <w:p>
            <w:pPr>
              <w:pStyle w:val="Compact"/>
              <w:jc w:val="left"/>
            </w:pPr>
            <w:r>
              <w:rPr>
                <w:bCs/>
                <w:b/>
              </w:rPr>
              <w:t xml:space="preserve">46.18 kgCO2e</w:t>
            </w:r>
          </w:p>
        </w:tc>
        <w:tc>
          <w:tcPr/>
          <w:p>
            <w:pPr>
              <w:pStyle w:val="Compact"/>
              <w:jc w:val="left"/>
            </w:pPr>
            <w:r>
              <w:rPr>
                <w:bCs/>
                <w:b/>
              </w:rPr>
              <w:t xml:space="preserve">100.00%</w:t>
            </w:r>
          </w:p>
        </w:tc>
      </w:tr>
    </w:tbl>
    <w:bookmarkEnd w:id="42"/>
    <w:bookmarkStart w:id="43" w:name="ghg-protocol-2026-updates-integration"/>
    <w:p>
      <w:pPr>
        <w:pStyle w:val="Heading3"/>
      </w:pPr>
      <w:r>
        <w:t xml:space="preserve">GHG Protocol 2026 Updates Integration:</w:t>
      </w:r>
    </w:p>
    <w:p>
      <w:pPr>
        <w:numPr>
          <w:ilvl w:val="0"/>
          <w:numId w:val="1008"/>
        </w:numPr>
        <w:pStyle w:val="Compact"/>
      </w:pPr>
      <w:r>
        <w:rPr>
          <w:bCs/>
          <w:b/>
        </w:rPr>
        <w:t xml:space="preserve">2026 LSR Update:</w:t>
      </w:r>
      <w:r>
        <w:t xml:space="preserve"> </w:t>
      </w:r>
      <w:r>
        <w:t xml:space="preserve">The Land Sector and Removals (LSR) Standard was published on January 30, 2026, and becomes effective January 1, 2027. This analysis acknowledges the LSR Standard, particularly its aim to account for emissions and removals from land use and agricultural activities. Given the nature of `krjslkgntq` and the provided data, specific land-use emissions are not directly quantifiable at this level of detail. However, for future iterations, raw material origins will be scrutinized for potential land-use change impacts and opportunities for removals. The standard explicitly does not cover forest carbon accounting in this version.</w:t>
      </w:r>
    </w:p>
    <w:p>
      <w:pPr>
        <w:numPr>
          <w:ilvl w:val="0"/>
          <w:numId w:val="1008"/>
        </w:numPr>
        <w:pStyle w:val="Compact"/>
      </w:pPr>
      <w:r>
        <w:rPr>
          <w:bCs/>
          <w:b/>
        </w:rPr>
        <w:t xml:space="preserve">Scope 3 Compliance (95% Coverage):</w:t>
      </w:r>
      <w:r>
        <w:t xml:space="preserve"> </w:t>
      </w:r>
      <w:r>
        <w:t xml:space="preserve">This report strives for comprehensive Scope 3 coverage by addressing all relevant categories (1, 4, 9, 11, 12). The 2026 requirements mandate accounting for at least 95% of total required Scope 3 emissions. While this report uses illustrative data, in a real-world scenario, primary data collection and a thorough hotspot analysis would ensure adherence to this critical threshold, with any justified exclusions explicitly quantified and disclosed.</w:t>
      </w:r>
    </w:p>
    <w:p>
      <w:pPr>
        <w:numPr>
          <w:ilvl w:val="0"/>
          <w:numId w:val="1008"/>
        </w:numPr>
        <w:pStyle w:val="Compact"/>
      </w:pPr>
      <w:r>
        <w:rPr>
          <w:bCs/>
          <w:b/>
        </w:rPr>
        <w:t xml:space="preserve">Annualized Emissions:</w:t>
      </w:r>
      <w:r>
        <w:t xml:space="preserve"> </w:t>
      </w:r>
      <w:r>
        <w:t xml:space="preserve">The use phase calculation inherently considers the annualized energy consumption multiplied by the product lifespan, aligning with the proposed shift towards annualized, stock-based accounting for relevant categories.</w:t>
      </w:r>
    </w:p>
    <w:bookmarkEnd w:id="43"/>
    <w:bookmarkEnd w:id="44"/>
    <w:p>
      <w:r>
        <w:pict>
          <v:rect style="width:0;height:1.5pt" o:hralign="center" o:hrstd="t" o:hr="t"/>
        </w:pict>
      </w:r>
    </w:p>
    <w:bookmarkStart w:id="47" w:name="review-report"/>
    <w:p>
      <w:pPr>
        <w:pStyle w:val="Heading2"/>
      </w:pPr>
      <w:r>
        <w:t xml:space="preserve">5. Review &amp; Report</w:t>
      </w:r>
    </w:p>
    <w:p>
      <w:pPr>
        <w:pStyle w:val="FirstParagraph"/>
      </w:pPr>
      <w:r>
        <w:t xml:space="preserve">The Product Carbon Footprint for "krjslkgntq" is calculated to be approximately</w:t>
      </w:r>
      <w:r>
        <w:t xml:space="preserve"> </w:t>
      </w:r>
      <w:r>
        <w:rPr>
          <w:bCs/>
          <w:b/>
        </w:rPr>
        <w:t xml:space="preserve">46.18 kgCO2e</w:t>
      </w:r>
      <w:r>
        <w:t xml:space="preserve"> </w:t>
      </w:r>
      <w:r>
        <w:t xml:space="preserve">per functional unit (1.0 unit).</w:t>
      </w:r>
    </w:p>
    <w:bookmarkStart w:id="45" w:name="emission-hotspots"/>
    <w:p>
      <w:pPr>
        <w:pStyle w:val="Heading3"/>
      </w:pPr>
      <w:r>
        <w:t xml:space="preserve">Emission Hotspots:</w:t>
      </w:r>
    </w:p>
    <w:p>
      <w:pPr>
        <w:pStyle w:val="FirstParagraph"/>
      </w:pPr>
      <w:r>
        <w:t xml:space="preserve">The analysis reveals the following significant emission hotspots:</w:t>
      </w:r>
    </w:p>
    <w:p>
      <w:pPr>
        <w:numPr>
          <w:ilvl w:val="0"/>
          <w:numId w:val="1009"/>
        </w:numPr>
        <w:pStyle w:val="Compact"/>
      </w:pPr>
      <w:r>
        <w:rPr>
          <w:bCs/>
          <w:b/>
        </w:rPr>
        <w:t xml:space="preserve">Use Phase (40.64%):</w:t>
      </w:r>
      <w:r>
        <w:t xml:space="preserve"> </w:t>
      </w:r>
      <w:r>
        <w:t xml:space="preserve">The energy consumption during the product\'s operational lifespan is the largest contributor to its overall carbon footprint. This highlights the importance of energy efficiency in product design and the shift towards renewable energy sources for end-users.</w:t>
      </w:r>
    </w:p>
    <w:p>
      <w:pPr>
        <w:numPr>
          <w:ilvl w:val="0"/>
          <w:numId w:val="1009"/>
        </w:numPr>
        <w:pStyle w:val="Compact"/>
      </w:pPr>
      <w:r>
        <w:rPr>
          <w:bCs/>
          <w:b/>
        </w:rPr>
        <w:t xml:space="preserve">Last-Mile Delivery (32.10%):</w:t>
      </w:r>
      <w:r>
        <w:t xml:space="preserve"> </w:t>
      </w:r>
      <w:r>
        <w:t xml:space="preserve">The final leg of transportation to the customer, despite being a relatively short distance, contributes significantly due to the less efficient nature of individual parcel deliveries. Optimizing logistics and promoting green last-mile solutions are crucial.</w:t>
      </w:r>
    </w:p>
    <w:p>
      <w:pPr>
        <w:numPr>
          <w:ilvl w:val="0"/>
          <w:numId w:val="1009"/>
        </w:numPr>
        <w:pStyle w:val="Compact"/>
      </w:pPr>
      <w:r>
        <w:rPr>
          <w:bCs/>
          <w:b/>
        </w:rPr>
        <w:t xml:space="preserve">Material Acquisition (17.75%):</w:t>
      </w:r>
      <w:r>
        <w:t xml:space="preserve"> </w:t>
      </w:r>
      <w:r>
        <w:t xml:space="preserve">The embodied emissions from raw materials, particularly the Lithium-ion Battery and Aluminum Casing, represent a substantial portion of the footprint. This underscores the need for sustainable sourcing, material efficiency, and increased use of recycled content.</w:t>
      </w:r>
    </w:p>
    <w:bookmarkEnd w:id="45"/>
    <w:bookmarkStart w:id="46" w:name="reliability-and-future-improvements"/>
    <w:p>
      <w:pPr>
        <w:pStyle w:val="Heading3"/>
      </w:pPr>
      <w:r>
        <w:t xml:space="preserve">Reliability and Future Improvements:</w:t>
      </w:r>
    </w:p>
    <w:p>
      <w:pPr>
        <w:pStyle w:val="FirstParagraph"/>
      </w:pPr>
      <w:r>
        <w:t xml:space="preserve">The reliability of this PCF is influenced by the quality and specificity of the input data. While industry-standard emission factors from reputable sources like Ecoinvent and DEFRA have been used, further improvements in accuracy can be achieved through:</w:t>
      </w:r>
    </w:p>
    <w:p>
      <w:pPr>
        <w:numPr>
          <w:ilvl w:val="0"/>
          <w:numId w:val="1010"/>
        </w:numPr>
        <w:pStyle w:val="Compact"/>
      </w:pPr>
      <w:r>
        <w:rPr>
          <w:bCs/>
          <w:b/>
        </w:rPr>
        <w:t xml:space="preserve">Primary Data Collection:</w:t>
      </w:r>
      <w:r>
        <w:t xml:space="preserve"> </w:t>
      </w:r>
      <w:r>
        <w:t xml:space="preserve">Engaging directly with suppliers for material-specific and process-specific emission data (e.g., from Environmental Product Declarations - EPDs) would enhance accuracy, especially for high-impact components.</w:t>
      </w:r>
    </w:p>
    <w:p>
      <w:pPr>
        <w:numPr>
          <w:ilvl w:val="0"/>
          <w:numId w:val="1010"/>
        </w:numPr>
        <w:pStyle w:val="Compact"/>
      </w:pPr>
      <w:r>
        <w:rPr>
          <w:bCs/>
          <w:b/>
        </w:rPr>
        <w:t xml:space="preserve">Granular Transport Data:</w:t>
      </w:r>
      <w:r>
        <w:t xml:space="preserve"> </w:t>
      </w:r>
      <w:r>
        <w:t xml:space="preserve">Obtaining more specific data on transport modes, vehicle utilization, and actual distances for each supply chain leg would refine logistics emissions.</w:t>
      </w:r>
    </w:p>
    <w:p>
      <w:pPr>
        <w:numPr>
          <w:ilvl w:val="0"/>
          <w:numId w:val="1010"/>
        </w:numPr>
        <w:pStyle w:val="Compact"/>
      </w:pPr>
      <w:r>
        <w:rPr>
          <w:bCs/>
          <w:b/>
        </w:rPr>
        <w:t xml:space="preserve">Use Phase Monitoring:</w:t>
      </w:r>
      <w:r>
        <w:t xml:space="preserve"> </w:t>
      </w:r>
      <w:r>
        <w:t xml:space="preserve">Real-world monitoring of energy consumption by users could provide more precise use phase data.</w:t>
      </w:r>
    </w:p>
    <w:p>
      <w:pPr>
        <w:numPr>
          <w:ilvl w:val="0"/>
          <w:numId w:val="1010"/>
        </w:numPr>
        <w:pStyle w:val="Compact"/>
      </w:pPr>
      <w:r>
        <w:rPr>
          <w:bCs/>
          <w:b/>
        </w:rPr>
        <w:t xml:space="preserve">End-of-Life Pathways:</w:t>
      </w:r>
      <w:r>
        <w:t xml:space="preserve"> </w:t>
      </w:r>
      <w:r>
        <w:t xml:space="preserve">Detailed information on regional waste management infrastructure and actual recycling rates for the product\'s components would improve EoL calculations.</w:t>
      </w:r>
    </w:p>
    <w:p>
      <w:pPr>
        <w:pStyle w:val="FirstParagraph"/>
      </w:pPr>
      <w:r>
        <w:t xml:space="preserve">This PCF serves as a robust baseline for egwxmndjro to identify key areas for intervention, set ambitious reduction targets, and communicate its environmental performance transparently to stakeholders, aligning with evolving reporting requirements.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krjslkgntq</dc:title>
  <dc:creator/>
  <dc:description>High-detail Product Carbon Footprint (PCF) analysis report for krjslkgntq, adhering to GHG Protocol standards and 2026 updates, by gywusyugko for egwxmndjro.</dc:description>
  <dc:language>en</dc:language>
  <cp:keywords/>
  <dcterms:created xsi:type="dcterms:W3CDTF">2026-05-30T22:09:15Z</dcterms:created>
  <dcterms:modified xsi:type="dcterms:W3CDTF">2026-05-30T22:09:15Z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