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kqzlxsqdyf</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kqzlxsqdyf</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ukjxrhhkek</w:t>
      </w:r>
    </w:p>
    <w:p>
      <w:pPr>
        <w:pStyle w:val="BodyText"/>
      </w:pPr>
      <w:r>
        <w:rPr>
          <w:bCs/>
          <w:b/>
        </w:rPr>
        <w:t xml:space="preserve">Senior Sustainability Consultant:</w:t>
      </w:r>
      <w:r>
        <w:t xml:space="preserve"> </w:t>
      </w:r>
      <w:r>
        <w:t xml:space="preserve">dqvfuhntyg</w:t>
      </w:r>
    </w:p>
    <w:p>
      <w:pPr>
        <w:pStyle w:val="BodyText"/>
      </w:pPr>
      <w:r>
        <w:rPr>
          <w:iCs/>
          <w:i/>
        </w:rPr>
        <w:t xml:space="preserve">Disclaimer: This report is generated based on available data, industry standards, and illustrative assumptions where specific data was not provided in a parseable format. While significant effort has been made to ensure accuracy and adherence to methodological guidelines, the results are indicative and subject to the quality and granularity of input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kqzlxsqdyf</w:t>
      </w:r>
    </w:p>
    <w:p>
      <w:pPr>
        <w:pStyle w:val="BodyText"/>
      </w:pPr>
      <w:r>
        <w:rPr>
          <w:bCs/>
          <w:b/>
        </w:rPr>
        <w:t xml:space="preserve">Company:</w:t>
      </w:r>
      <w:r>
        <w:t xml:space="preserve"> </w:t>
      </w:r>
      <w:r>
        <w:t xml:space="preserve">ukjxrhhkek</w:t>
      </w:r>
    </w:p>
    <w:p>
      <w:pPr>
        <w:pStyle w:val="BodyText"/>
      </w:pPr>
      <w:r>
        <w:rPr>
          <w:bCs/>
          <w:b/>
        </w:rPr>
        <w:t xml:space="preserve">Senior Sustainability Consultant:</w:t>
      </w:r>
      <w:r>
        <w:t xml:space="preserve"> </w:t>
      </w:r>
      <w:r>
        <w:t xml:space="preserve">dqvfuhntyg</w:t>
      </w:r>
    </w:p>
    <w:p>
      <w:pPr>
        <w:pStyle w:val="BodyText"/>
      </w:pPr>
      <w:r>
        <w:rPr>
          <w:bCs/>
          <w:b/>
        </w:rPr>
        <w:t xml:space="preserve">Generated Date:</w:t>
      </w:r>
      <w:r>
        <w:t xml:space="preserve"> </w:t>
      </w:r>
      <w:r>
        <w:t xml:space="preserve">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\'kqzlxsqdyf\', a product manufactured by \'ukjxrhhkek\'. The analysis was conducted by \'dqvfuhntyg\', a Senior Sustainability Consultant, adhering strictly to the GHG Protocol as the accounting standard, including considerations for the 2026 Land Sector and Removals (LSR) Standard update and aiming for at least 95% coverage for Scope 3 emissions. The system boundary for this PCF is \'factory_gate\' with expanded downstream use and end-of-life considerations, and the geographic scope covers a final production country of China with a supply chain focus on Europe. The primary objective is to quantify the greenhouse gas (GHG) emissions associated with the product\'s lifecycle and identify key emission hotspots, supporting \'ukjxrhhkek\' in its sustainability goals.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analysis follows a systematic five-step approach in line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all relevant processes and stages within the defined system boundary that contribute to the product\'s lifecycle.</w:t>
      </w:r>
    </w:p>
    <w:p>
      <w:pPr>
        <w:numPr>
          <w:ilvl w:val="0"/>
          <w:numId w:val="1001"/>
        </w:numPr>
        <w:pStyle w:val="Compact"/>
      </w:pPr>
      <w:r>
        <w:rPr>
          <w:bCs/>
          <w:b/>
        </w:rPr>
        <w:t xml:space="preserve">Collect Data (Primary/Secondary data points):</w:t>
      </w:r>
      <w:r>
        <w:t xml:space="preserve"> </w:t>
      </w:r>
      <w:r>
        <w:t xml:space="preserve">Gather specific activity data for each lifecycle stage and identify appropriate emission factors.</w:t>
      </w:r>
    </w:p>
    <w:p>
      <w:pPr>
        <w:numPr>
          <w:ilvl w:val="0"/>
          <w:numId w:val="1001"/>
        </w:numPr>
        <w:pStyle w:val="Compact"/>
      </w:pPr>
      <w:r>
        <w:rPr>
          <w:bCs/>
          <w:b/>
        </w:rPr>
        <w:t xml:space="preserve">Calculate Emissions:</w:t>
      </w:r>
      <w:r>
        <w:t xml:space="preserve"> </w:t>
      </w:r>
      <w:r>
        <w:t xml:space="preserve">Quantify GHG emissions by multiplying activity data by relevant emission factors (Activity × Emission Factor = CO2e). Categorize emissions into Scope 1, Scope 2, and Scope 3 as per GHG Protocol requirements. The 2026 Land Sector and Removals (LSR) Standard is applied for relevant land-use and carbon removal impacts.</w:t>
      </w:r>
    </w:p>
    <w:p>
      <w:pPr>
        <w:numPr>
          <w:ilvl w:val="0"/>
          <w:numId w:val="1001"/>
        </w:numPr>
        <w:pStyle w:val="Compact"/>
      </w:pPr>
      <w:r>
        <w:rPr>
          <w:bCs/>
          <w:b/>
        </w:rPr>
        <w:t xml:space="preserve">Review &amp; Report:</w:t>
      </w:r>
      <w:r>
        <w:t xml:space="preserve"> </w:t>
      </w:r>
      <w:r>
        <w:t xml:space="preserve">Analyze the results to identify emission hotspots, assess data reliability, and present findings in a clear and actionable report.</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foundational parameters for this Product Carbon Footprint analysis are defined as follows:</w:t>
      </w:r>
    </w:p>
    <w:p>
      <w:pPr>
        <w:numPr>
          <w:ilvl w:val="0"/>
          <w:numId w:val="1002"/>
        </w:numPr>
        <w:pStyle w:val="Compact"/>
      </w:pPr>
      <w:r>
        <w:rPr>
          <w:bCs/>
          <w:b/>
        </w:rPr>
        <w:t xml:space="preserve">Product Name:</w:t>
      </w:r>
      <w:r>
        <w:t xml:space="preserve"> </w:t>
      </w:r>
      <w:r>
        <w:t xml:space="preserve">kqzlxsqdyf</w:t>
      </w:r>
    </w:p>
    <w:p>
      <w:pPr>
        <w:numPr>
          <w:ilvl w:val="0"/>
          <w:numId w:val="1002"/>
        </w:numPr>
        <w:pStyle w:val="Compact"/>
      </w:pPr>
      <w:r>
        <w:rPr>
          <w:bCs/>
          <w:b/>
        </w:rPr>
        <w:t xml:space="preserve">Functional Unit:</w:t>
      </w:r>
      <w:r>
        <w:t xml:space="preserve"> </w:t>
      </w:r>
      <w:r>
        <w:t xml:space="preserve">1.0 unit of kqzlxsqdyf. This serves as the reference unit to which all inputs and outputs are normalized, allowing for consistent comparison and quantification of environmental impacts.</w:t>
      </w:r>
    </w:p>
    <w:p>
      <w:pPr>
        <w:numPr>
          <w:ilvl w:val="0"/>
          <w:numId w:val="1002"/>
        </w:numPr>
        <w:pStyle w:val="Compact"/>
      </w:pPr>
      <w:r>
        <w:rPr>
          <w:bCs/>
          <w:b/>
        </w:rPr>
        <w:t xml:space="preserve">System Boundary:</w:t>
      </w:r>
      <w:r>
        <w:t xml:space="preserve"> </w:t>
      </w:r>
      <w:r>
        <w:t xml:space="preserve">factory_gate. This cradle-to-gate approach includes raw material acquisition, manufacturing, and transport to the factory gate. For this report, the boundary has been extended to include key downstream lifecycle stages: transport from factory to customer (last-mile delivery), product use phase, and end-of-life treatment, providing a more comprehensive view of the product\'s impact.</w:t>
      </w:r>
    </w:p>
    <w:p>
      <w:pPr>
        <w:numPr>
          <w:ilvl w:val="0"/>
          <w:numId w:val="1002"/>
        </w:numPr>
        <w:pStyle w:val="Compact"/>
      </w:pPr>
      <w:r>
        <w:rPr>
          <w:bCs/>
          <w:b/>
        </w:rPr>
        <w:t xml:space="preserve">Geographic Scope:</w:t>
      </w:r>
      <w:r>
        <w:t xml:space="preserve"> </w:t>
      </w:r>
      <w:r>
        <w:t xml:space="preserve">Final Production Country: China, Supply Chain Focus: Europe Focused. This implies that manufacturing emissions are based on the energy grid of China, while upstream material sourcing and last-mile distribution primarily consider European logistics and end-of-life scenarios.</w:t>
      </w:r>
    </w:p>
    <w:p>
      <w:pPr>
        <w:numPr>
          <w:ilvl w:val="0"/>
          <w:numId w:val="1002"/>
        </w:numPr>
        <w:pStyle w:val="Compact"/>
      </w:pPr>
      <w:r>
        <w:rPr>
          <w:bCs/>
          <w:b/>
        </w:rPr>
        <w:t xml:space="preserve">Accounting Standard:</w:t>
      </w:r>
      <w:r>
        <w:t xml:space="preserve"> </w:t>
      </w:r>
      <w:r>
        <w:t xml:space="preserve">GHG Protocol. This report strictly adheres to the Greenhouse Gas Protocol Corporate Standard and the Product Life Cycle Accounting and Reporting Standard. Emissions are categorized into Scope 1 (direct emissions), Scope 2 (indirect emissions from purchased energy), and Scope 3 (all other indirect emissions in the value chain).</w:t>
      </w:r>
    </w:p>
    <w:p>
      <w:pPr>
        <w:numPr>
          <w:ilvl w:val="0"/>
          <w:numId w:val="1002"/>
        </w:numPr>
        <w:pStyle w:val="Compact"/>
      </w:pPr>
      <w:r>
        <w:rPr>
          <w:bCs/>
          <w:b/>
        </w:rPr>
        <w:t xml:space="preserve">Allocation:</w:t>
      </w:r>
      <w:r>
        <w:t xml:space="preserve"> </w:t>
      </w:r>
      <w:r>
        <w:t xml:space="preserve">Where co-products or waste streams occur, mass-based allocation is applied to distribute environmental burdens appropriately across products.</w:t>
      </w:r>
    </w:p>
    <w:p>
      <w:pPr>
        <w:numPr>
          <w:ilvl w:val="0"/>
          <w:numId w:val="1002"/>
        </w:numPr>
        <w:pStyle w:val="Compact"/>
      </w:pPr>
      <w:r>
        <w:rPr>
          <w:bCs/>
          <w:b/>
        </w:rPr>
        <w:t xml:space="preserve">2026 LSR Update:</w:t>
      </w:r>
      <w:r>
        <w:t xml:space="preserve"> </w:t>
      </w:r>
      <w:r>
        <w:t xml:space="preserve">The Land Sector and Removals (LSR) Standard has been considered. For this specific manufactured product, direct land-use change and significant carbon removals are not primary drivers unless bio-based materials with specific land-use impacts are present in the Bill of Materials. The current analysis primarily focuses on industrial emissions.</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of \'kqzlxsqdyf\' encompasses several key stages, from raw material extraction to end-of-life. Data collection involved identifying primary data points from \'ukjxrhhkek\' and supplementing with secondary, industry-average emission factors where specific primary data was unavailable or to illustrate the calculation methodology. The following parameters and illustrative data points have been used:</w:t>
      </w:r>
    </w:p>
    <w:bookmarkStart w:id="25" w:name="X7f7195bf331403df4e4cad2214e7555617eab72"/>
    <w:p>
      <w:pPr>
        <w:pStyle w:val="Heading3"/>
      </w:pPr>
      <w:r>
        <w:t xml:space="preserve">Detailed Bill of Materials (BOM) - Illustrative Data Based on Provided Format (zpyugeuo)</w:t>
      </w:r>
    </w:p>
    <w:p>
      <w:pPr>
        <w:pStyle w:val="FirstParagraph"/>
      </w:pPr>
      <w:r>
        <w:t xml:space="preserve">The user provided "zpyugeuo" as the Detailed Bill of Materials. Since this input is a string and not a parseable structured dataset, an illustrative BOM table is presented below, following the requested format (ID, Description, Category, Process, Qty, Unit, Emission Factor, Total Carbon). The \'Total Carbon\' values from this illustrative table will be used in subsequent calculations to demonstrate the methodology. For actual reporting, structured primary data from "zpyugeuo" would be required.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Circuit Board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7.0</w:t>
            </w:r>
          </w:p>
        </w:tc>
        <w:tc>
          <w:tcPr/>
          <w:p>
            <w:pPr>
              <w:pStyle w:val="Compact"/>
              <w:jc w:val="left"/>
            </w:pPr>
            <w:r>
              <w:t xml:space="preserve">1.40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rPr>
                <w:bCs/>
                <w:b/>
              </w:rPr>
              <w:t xml:space="preserve">Total Illustrative Material Carbon Footprint:</w:t>
            </w:r>
          </w:p>
        </w:tc>
        <w:tc>
          <w:tcPr/>
          <w:p>
            <w:pPr>
              <w:pStyle w:val="Compact"/>
              <w:jc w:val="left"/>
            </w:pPr>
            <w:r>
              <w:rPr>
                <w:bCs/>
                <w:b/>
              </w:rPr>
              <w:t xml:space="preserve">15.02</w:t>
            </w:r>
          </w:p>
        </w:tc>
      </w:tr>
    </w:tbl>
    <w:bookmarkEnd w:id="25"/>
    <w:bookmarkStart w:id="26" w:name="Xcecf8d777cb8c0399acb9675627ee16085d0474"/>
    <w:p>
      <w:pPr>
        <w:pStyle w:val="Heading3"/>
      </w:pPr>
      <w:r>
        <w:t xml:space="preserve">Production Phase Data (Manufacturing in China)</w:t>
      </w:r>
    </w:p>
    <w:p>
      <w:pPr>
        <w:numPr>
          <w:ilvl w:val="0"/>
          <w:numId w:val="1003"/>
        </w:numPr>
        <w:pStyle w:val="Compact"/>
      </w:pPr>
      <w:r>
        <w:rPr>
          <w:bCs/>
          <w:b/>
        </w:rPr>
        <w:t xml:space="preserve">Renewable Energy Usage (jupwvlillq):</w:t>
      </w:r>
      <w:r>
        <w:t xml:space="preserve"> </w:t>
      </w:r>
      <w:r>
        <w:t xml:space="preserve">40% (Illustrative percentage of electricity from renewable sources)</w:t>
      </w:r>
    </w:p>
    <w:p>
      <w:pPr>
        <w:numPr>
          <w:ilvl w:val="0"/>
          <w:numId w:val="1003"/>
        </w:numPr>
        <w:pStyle w:val="Compact"/>
      </w:pPr>
      <w:r>
        <w:rPr>
          <w:bCs/>
          <w:b/>
        </w:rPr>
        <w:t xml:space="preserve">Energy Intensity (kWh/unit) (moedonlzwz):</w:t>
      </w:r>
      <w:r>
        <w:t xml:space="preserve"> </w:t>
      </w:r>
      <w:r>
        <w:t xml:space="preserve">12 kWh/unit (Illustrative energy consumed per unit of product)</w:t>
      </w:r>
    </w:p>
    <w:p>
      <w:pPr>
        <w:numPr>
          <w:ilvl w:val="0"/>
          <w:numId w:val="1003"/>
        </w:numPr>
        <w:pStyle w:val="Compact"/>
      </w:pPr>
      <w:r>
        <w:rPr>
          <w:bCs/>
          <w:b/>
        </w:rPr>
        <w:t xml:space="preserve">Electricity Grid Emission Factor (China):</w:t>
      </w:r>
      <w:r>
        <w:t xml:space="preserve"> </w:t>
      </w:r>
      <w:r>
        <w:t xml:space="preserve">0.58 kg CO2e/kWh</w:t>
      </w:r>
    </w:p>
    <w:p>
      <w:pPr>
        <w:numPr>
          <w:ilvl w:val="0"/>
          <w:numId w:val="1003"/>
        </w:numPr>
        <w:pStyle w:val="Compact"/>
      </w:pPr>
      <w:r>
        <w:rPr>
          <w:bCs/>
          <w:b/>
        </w:rPr>
        <w:t xml:space="preserve">Renewable Energy Emission Factor (Upstream):</w:t>
      </w:r>
      <w:r>
        <w:t xml:space="preserve"> </w:t>
      </w:r>
      <w:r>
        <w:t xml:space="preserve">0.03 kg CO2e/kWh (Illustrative, accounting for upstream emissions of renewable generation)</w:t>
      </w:r>
    </w:p>
    <w:bookmarkEnd w:id="26"/>
    <w:bookmarkStart w:id="27" w:name="logistics-data-transport"/>
    <w:p>
      <w:pPr>
        <w:pStyle w:val="Heading3"/>
      </w:pPr>
      <w:r>
        <w:t xml:space="preserve">Logistics Data (Transport)</w:t>
      </w:r>
    </w:p>
    <w:p>
      <w:pPr>
        <w:numPr>
          <w:ilvl w:val="0"/>
          <w:numId w:val="1004"/>
        </w:numPr>
        <w:pStyle w:val="Compact"/>
      </w:pPr>
      <w:r>
        <w:rPr>
          <w:bCs/>
          <w:b/>
        </w:rPr>
        <w:t xml:space="preserve">Transport Mode (Select Mode):</w:t>
      </w:r>
      <w:r>
        <w:t xml:space="preserve"> </w:t>
      </w:r>
      <w:r>
        <w:t xml:space="preserve">Ocean Freight (Upstream primary logistics), Road Freight (Last-Mile delivery).</w:t>
      </w:r>
    </w:p>
    <w:p>
      <w:pPr>
        <w:numPr>
          <w:ilvl w:val="0"/>
          <w:numId w:val="1004"/>
        </w:numPr>
        <w:pStyle w:val="Compact"/>
      </w:pPr>
      <w:r>
        <w:rPr>
          <w:bCs/>
          <w:b/>
        </w:rPr>
        <w:t xml:space="preserve">Transport Distance (krewqrpgow):</w:t>
      </w:r>
      <w:r>
        <w:t xml:space="preserve"> </w:t>
      </w:r>
      <w:r>
        <w:t xml:space="preserve">8,000 km (Illustrative distance for upstream primary logistics, e.g., materials from Europe to China).</w:t>
      </w:r>
    </w:p>
    <w:p>
      <w:pPr>
        <w:numPr>
          <w:ilvl w:val="0"/>
          <w:numId w:val="1004"/>
        </w:numPr>
        <w:pStyle w:val="Compact"/>
      </w:pPr>
      <w:r>
        <w:rPr>
          <w:bCs/>
          <w:b/>
        </w:rPr>
        <w:t xml:space="preserve">Last-Mile Delivery Channel (Delivery Type):</w:t>
      </w:r>
      <w:r>
        <w:t xml:space="preserve"> </w:t>
      </w:r>
      <w:r>
        <w:t xml:space="preserve">Road Freight (Van). (Illustrative typical last-mile delivery, e.g., within Europe). Assumed Last-Mile Distance: 500 km.</w:t>
      </w:r>
    </w:p>
    <w:p>
      <w:pPr>
        <w:numPr>
          <w:ilvl w:val="0"/>
          <w:numId w:val="1004"/>
        </w:numPr>
        <w:pStyle w:val="Compact"/>
      </w:pPr>
      <w:r>
        <w:rPr>
          <w:bCs/>
          <w:b/>
        </w:rPr>
        <w:t xml:space="preserve">Assumed Product Weight:</w:t>
      </w:r>
      <w:r>
        <w:t xml:space="preserve"> </w:t>
      </w:r>
      <w:r>
        <w:t xml:space="preserve">2 kg per unit (for transport calculations).</w:t>
      </w:r>
    </w:p>
    <w:p>
      <w:pPr>
        <w:numPr>
          <w:ilvl w:val="0"/>
          <w:numId w:val="1004"/>
        </w:numPr>
        <w:pStyle w:val="Compact"/>
      </w:pPr>
      <w:r>
        <w:rPr>
          <w:bCs/>
          <w:b/>
        </w:rPr>
        <w:t xml:space="preserve">Ocean Freight Emission Factor:</w:t>
      </w:r>
      <w:r>
        <w:t xml:space="preserve"> </w:t>
      </w:r>
      <w:r>
        <w:t xml:space="preserve">0.016 kg CO2e/tkm</w:t>
      </w:r>
    </w:p>
    <w:p>
      <w:pPr>
        <w:numPr>
          <w:ilvl w:val="0"/>
          <w:numId w:val="1004"/>
        </w:numPr>
        <w:pStyle w:val="Compact"/>
      </w:pPr>
      <w:r>
        <w:rPr>
          <w:bCs/>
          <w:b/>
        </w:rPr>
        <w:t xml:space="preserve">Road Freight (Van) Emission Factor:</w:t>
      </w:r>
      <w:r>
        <w:t xml:space="preserve"> </w:t>
      </w:r>
      <w:r>
        <w:t xml:space="preserve">0.1 kg CO2e/tkm (Illustrative for last-mile, derived from various road freight factors)</w:t>
      </w:r>
    </w:p>
    <w:bookmarkEnd w:id="27"/>
    <w:bookmarkStart w:id="28" w:name="use-phase-data-europe-focused"/>
    <w:p>
      <w:pPr>
        <w:pStyle w:val="Heading3"/>
      </w:pPr>
      <w:r>
        <w:t xml:space="preserve">Use Phase Data (Europe Focused)</w:t>
      </w:r>
    </w:p>
    <w:p>
      <w:pPr>
        <w:numPr>
          <w:ilvl w:val="0"/>
          <w:numId w:val="1005"/>
        </w:numPr>
        <w:pStyle w:val="Compact"/>
      </w:pPr>
      <w:r>
        <w:rPr>
          <w:bCs/>
          <w:b/>
        </w:rPr>
        <w:t xml:space="preserve">Product Lifespan (pesppforft):</w:t>
      </w:r>
      <w:r>
        <w:t xml:space="preserve"> </w:t>
      </w:r>
      <w:r>
        <w:t xml:space="preserve">5 years (Illustrative estimated operational life of the product).</w:t>
      </w:r>
    </w:p>
    <w:p>
      <w:pPr>
        <w:numPr>
          <w:ilvl w:val="0"/>
          <w:numId w:val="1005"/>
        </w:numPr>
        <w:pStyle w:val="Compact"/>
      </w:pPr>
      <w:r>
        <w:rPr>
          <w:bCs/>
          <w:b/>
        </w:rPr>
        <w:t xml:space="preserve">Energy Consumption in Use (whmuxqjgsr):</w:t>
      </w:r>
      <w:r>
        <w:t xml:space="preserve"> </w:t>
      </w:r>
      <w:r>
        <w:t xml:space="preserve">18 kWh/year (Illustrative annual energy consumption during product use).</w:t>
      </w:r>
    </w:p>
    <w:p>
      <w:pPr>
        <w:numPr>
          <w:ilvl w:val="0"/>
          <w:numId w:val="1005"/>
        </w:numPr>
        <w:pStyle w:val="Compact"/>
      </w:pPr>
      <w:r>
        <w:rPr>
          <w:bCs/>
          <w:b/>
        </w:rPr>
        <w:t xml:space="preserve">Electricity Grid Emission Factor (Europe):</w:t>
      </w:r>
      <w:r>
        <w:t xml:space="preserve"> </w:t>
      </w:r>
      <w:r>
        <w:t xml:space="preserve">0.24 kg CO2e/kWh (Illustrative EU average)</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 (vneeeehwfh):</w:t>
      </w:r>
      <w:r>
        <w:t xml:space="preserve"> </w:t>
      </w:r>
      <w:r>
        <w:t xml:space="preserve">60% (Illustrative percentage of the product\'s mass that is recycled).</w:t>
      </w:r>
    </w:p>
    <w:p>
      <w:pPr>
        <w:numPr>
          <w:ilvl w:val="0"/>
          <w:numId w:val="1006"/>
        </w:numPr>
        <w:pStyle w:val="Compact"/>
      </w:pPr>
      <w:r>
        <w:rPr>
          <w:bCs/>
          <w:b/>
        </w:rPr>
        <w:t xml:space="preserve">Circular/Take-back Programs (inftpzpqrn):</w:t>
      </w:r>
      <w:r>
        <w:t xml:space="preserve"> </w:t>
      </w:r>
      <w:r>
        <w:t xml:space="preserve">Active Circularity &amp; Take-back Program. (Acknowledged program, impacting EoL management).</w:t>
      </w:r>
    </w:p>
    <w:p>
      <w:pPr>
        <w:numPr>
          <w:ilvl w:val="0"/>
          <w:numId w:val="1006"/>
        </w:numPr>
        <w:pStyle w:val="Compact"/>
      </w:pPr>
      <w:r>
        <w:rPr>
          <w:bCs/>
          <w:b/>
        </w:rPr>
        <w:t xml:space="preserve">Landfill Emission Factor:</w:t>
      </w:r>
      <w:r>
        <w:t xml:space="preserve"> </w:t>
      </w:r>
      <w:r>
        <w:t xml:space="preserve">0.05 kg CO2e/kg (Illustrative for general mixed waste to landfill)</w:t>
      </w:r>
    </w:p>
    <w:p>
      <w:pPr>
        <w:numPr>
          <w:ilvl w:val="0"/>
          <w:numId w:val="1006"/>
        </w:numPr>
        <w:pStyle w:val="Compact"/>
      </w:pPr>
      <w:r>
        <w:rPr>
          <w:bCs/>
          <w:b/>
        </w:rPr>
        <w:t xml:space="preserve">Recycling Avoided Emission Factor:</w:t>
      </w:r>
      <w:r>
        <w:t xml:space="preserve"> </w:t>
      </w:r>
      <w:r>
        <w:t xml:space="preserve">-1.0 kg CO2e/kg (Illustrative average benefit from recycling compared to virgin material production, representing avoided emissions)</w:t>
      </w:r>
    </w:p>
    <w:p>
      <w:r>
        <w:pict>
          <v:rect style="width:0;height:1.5pt" o:hralign="center" o:hrstd="t" o:hr="t"/>
        </w:pict>
      </w:r>
    </w:p>
    <w:bookmarkEnd w:id="29"/>
    <w:bookmarkEnd w:id="30"/>
    <w:bookmarkStart w:id="43" w:name="calculate-emissions"/>
    <w:p>
      <w:pPr>
        <w:pStyle w:val="Heading2"/>
      </w:pPr>
      <w:r>
        <w:t xml:space="preserve">4. Calculate Emissions</w:t>
      </w:r>
    </w:p>
    <w:p>
      <w:pPr>
        <w:pStyle w:val="FirstParagraph"/>
      </w:pPr>
      <w:r>
        <w:t xml:space="preserve">Emissions are calculated for each lifecycle stage and categorized according to the GHG Protocol Scopes. Industry-standard emission factors (e.g., from Ecoinvent/DEFRA, as referenced by the performed search) are used to convert activity data into CO2 equivalent (CO2e) emissions. The Global Warming Potential (GWP) values from the IPCC Fifth Assessment Report (AR5) are implicitly used within the CO2e factors.</w:t>
      </w:r>
    </w:p>
    <w:bookmarkStart w:id="31" w:name="product-weight-assumption"/>
    <w:p>
      <w:pPr>
        <w:pStyle w:val="Heading3"/>
      </w:pPr>
      <w:r>
        <w:t xml:space="preserve">Product Weight Assumption</w:t>
      </w:r>
    </w:p>
    <w:p>
      <w:pPr>
        <w:pStyle w:val="FirstParagraph"/>
      </w:pPr>
      <w:r>
        <w:t xml:space="preserve">For transport and end-of-life calculations where not explicitly derived from the BOM quantities, the assumed average product weight is 2 kg per unit.</w:t>
      </w:r>
    </w:p>
    <w:bookmarkEnd w:id="31"/>
    <w:bookmarkStart w:id="32" w:name="scope-1-emissions-direct-emissions"/>
    <w:p>
      <w:pPr>
        <w:pStyle w:val="Heading3"/>
      </w:pPr>
      <w:r>
        <w:t xml:space="preserve">Scope 1 Emissions (Direct Emissions)</w:t>
      </w:r>
    </w:p>
    <w:p>
      <w:pPr>
        <w:pStyle w:val="FirstParagraph"/>
      </w:pPr>
      <w:r>
        <w:t xml:space="preserve">For a \'factory_gate\' system boundary focusing on product PCF, direct Scope 1 emissions from \'ukjxrhhkek\'s own manufacturing operations (e.g., fuel combustion in company-owned vehicles or facilities) are typically accounted for at the corporate level. For the product\'s PCF, direct emissions from manufacturing processes (e.g., fugitive emissions, process emissions) are often embedded in material and energy emission factors. Without specific process emission data for \'kqzlxsqdyf\'s manufacturing, these are assumed to be negligible or covered within upstream Scope 3 material impacts or Scope 2 energy impacts for the product level.</w:t>
      </w:r>
    </w:p>
    <w:p>
      <w:pPr>
        <w:pStyle w:val="BodyText"/>
      </w:pPr>
      <w:r>
        <w:rPr>
          <w:bCs/>
          <w:b/>
        </w:rPr>
        <w:t xml:space="preserve">Total Illustrative Scope 1 Emissions: 0.00 kgCO2e</w:t>
      </w:r>
    </w:p>
    <w:bookmarkEnd w:id="32"/>
    <w:bookmarkStart w:id="33" w:name="Xea3a0be011cd6660e8b4fde47b2db6c687f0551"/>
    <w:p>
      <w:pPr>
        <w:pStyle w:val="Heading3"/>
      </w:pPr>
      <w:r>
        <w:t xml:space="preserve">Scope 2 Emissions (Purchased Energy Emissions)</w:t>
      </w:r>
    </w:p>
    <w:p>
      <w:pPr>
        <w:pStyle w:val="FirstParagraph"/>
      </w:pPr>
      <w:r>
        <w:t xml:space="preserve">These emissions arise from the generation of purchased electricity consumed during the manufacturing of \'kqzlxsqdyf\' in China.</w:t>
      </w:r>
    </w:p>
    <w:p>
      <w:pPr>
        <w:numPr>
          <w:ilvl w:val="0"/>
          <w:numId w:val="1007"/>
        </w:numPr>
        <w:pStyle w:val="Compact"/>
      </w:pPr>
      <w:r>
        <w:t xml:space="preserve">Total Energy Intensity: 12 kWh/unit (moedonlzwz)</w:t>
      </w:r>
    </w:p>
    <w:p>
      <w:pPr>
        <w:numPr>
          <w:ilvl w:val="0"/>
          <w:numId w:val="1007"/>
        </w:numPr>
        <w:pStyle w:val="Compact"/>
      </w:pPr>
      <w:r>
        <w:t xml:space="preserve">Renewable Energy Usage: 40% (jupwvlillq)</w:t>
      </w:r>
    </w:p>
    <w:p>
      <w:pPr>
        <w:numPr>
          <w:ilvl w:val="0"/>
          <w:numId w:val="1007"/>
        </w:numPr>
        <w:pStyle w:val="Compact"/>
      </w:pPr>
      <w:r>
        <w:t xml:space="preserve">Non-renewable electricity consumption: 12 kWh/unit * (1 - 0.40) = 7.2 kWh/unit</w:t>
      </w:r>
    </w:p>
    <w:p>
      <w:pPr>
        <w:numPr>
          <w:ilvl w:val="0"/>
          <w:numId w:val="1007"/>
        </w:numPr>
        <w:pStyle w:val="Compact"/>
      </w:pPr>
      <w:r>
        <w:t xml:space="preserve">Renewable electricity consumption: 12 kWh/unit * 0.40 = 4.8 kWh/unit</w:t>
      </w:r>
    </w:p>
    <w:p>
      <w:pPr>
        <w:numPr>
          <w:ilvl w:val="0"/>
          <w:numId w:val="1007"/>
        </w:numPr>
        <w:pStyle w:val="Compact"/>
      </w:pPr>
      <w:r>
        <w:t xml:space="preserve">Emissions from non-renewable electricity: 7.2 kWh/unit * 0.58 kgCO2e/kWh (China grid) = 4.176 kgCO2e/unit</w:t>
      </w:r>
    </w:p>
    <w:p>
      <w:pPr>
        <w:numPr>
          <w:ilvl w:val="0"/>
          <w:numId w:val="1007"/>
        </w:numPr>
        <w:pStyle w:val="Compact"/>
      </w:pPr>
      <w:r>
        <w:t xml:space="preserve">Emissions from renewable electricity (upstream): 4.8 kWh/unit * 0.03 kgCO2e/kWh = 0.144 kgCO2e/unit</w:t>
      </w:r>
    </w:p>
    <w:p>
      <w:pPr>
        <w:pStyle w:val="FirstParagraph"/>
      </w:pPr>
      <w:r>
        <w:rPr>
          <w:bCs/>
          <w:b/>
        </w:rPr>
        <w:t xml:space="preserve">Total Illustrative Scope 2 Emissions: 4.176 + 0.144 = 4.32 kgCO2e/unit</w:t>
      </w:r>
    </w:p>
    <w:bookmarkEnd w:id="33"/>
    <w:bookmarkStart w:id="39" w:name="scope-3-emissions-value-chain-emissions"/>
    <w:p>
      <w:pPr>
        <w:pStyle w:val="Heading3"/>
      </w:pPr>
      <w:r>
        <w:t xml:space="preserve">Scope 3 Emissions (Value Chain Emissions)</w:t>
      </w:r>
    </w:p>
    <w:p>
      <w:pPr>
        <w:pStyle w:val="FirstParagraph"/>
      </w:pPr>
      <w:r>
        <w:t xml:space="preserve">Scope 3 emissions represent all indirect emissions in the product\'s value chain, both upstream and downstream. The aim is to achieve at least 95% coverage as per 2026 requirements.</w:t>
      </w:r>
    </w:p>
    <w:bookmarkStart w:id="34" w:name="Xefd360d238b4bde1d02962f197f74c02b60c6a1"/>
    <w:p>
      <w:pPr>
        <w:pStyle w:val="Heading4"/>
      </w:pPr>
      <w:r>
        <w:t xml:space="preserve">Category 1: Upstream Materials (from Illustrative BOM)</w:t>
      </w:r>
    </w:p>
    <w:p>
      <w:pPr>
        <w:numPr>
          <w:ilvl w:val="0"/>
          <w:numId w:val="1008"/>
        </w:numPr>
        <w:pStyle w:val="Compact"/>
      </w:pPr>
      <w:r>
        <w:t xml:space="preserve">Total Illustrative Material Carbon Footprint: 15.02 kgCO2e/unit (Sum from BOM table)</w:t>
      </w:r>
    </w:p>
    <w:p>
      <w:pPr>
        <w:pStyle w:val="FirstParagraph"/>
      </w:pPr>
      <w:r>
        <w:rPr>
          <w:bCs/>
          <w:b/>
        </w:rPr>
        <w:t xml:space="preserve">Illustrative Scope 3, Category 1 Emissions: 15.02 kgCO2e/unit</w:t>
      </w:r>
    </w:p>
    <w:bookmarkEnd w:id="34"/>
    <w:bookmarkStart w:id="35" w:name="X95474b844d738a983e420f827761409c4ac7997"/>
    <w:p>
      <w:pPr>
        <w:pStyle w:val="Heading4"/>
      </w:pPr>
      <w:r>
        <w:t xml:space="preserve">Category 4: Upstream Transportation and Distribution (Raw Materials to Factory in China)</w:t>
      </w:r>
    </w:p>
    <w:p>
      <w:pPr>
        <w:pStyle w:val="FirstParagraph"/>
      </w:pPr>
      <w:r>
        <w:t xml:space="preserve">Assuming `krewqrpgow` (8,000 km) represents primary upstream logistics distance, e.g., for major components shipped to the manufacturing facility in China.</w:t>
      </w:r>
    </w:p>
    <w:p>
      <w:pPr>
        <w:numPr>
          <w:ilvl w:val="0"/>
          <w:numId w:val="1009"/>
        </w:numPr>
        <w:pStyle w:val="Compact"/>
      </w:pPr>
      <w:r>
        <w:t xml:space="preserve">Assumed Mass of materials transported for 1 unit: 2 kg (product weight approximation, or could be sum of BOM \'Qty\' if more specific data were available).</w:t>
      </w:r>
    </w:p>
    <w:p>
      <w:pPr>
        <w:numPr>
          <w:ilvl w:val="0"/>
          <w:numId w:val="1009"/>
        </w:numPr>
        <w:pStyle w:val="Compact"/>
      </w:pPr>
      <w:r>
        <w:t xml:space="preserve">Transport Mode: Ocean Freight (Select Mode)</w:t>
      </w:r>
    </w:p>
    <w:p>
      <w:pPr>
        <w:numPr>
          <w:ilvl w:val="0"/>
          <w:numId w:val="1009"/>
        </w:numPr>
        <w:pStyle w:val="Compact"/>
      </w:pPr>
      <w:r>
        <w:t xml:space="preserve">Distance: 8,000 km (krewqrpgow)</w:t>
      </w:r>
    </w:p>
    <w:p>
      <w:pPr>
        <w:numPr>
          <w:ilvl w:val="0"/>
          <w:numId w:val="1009"/>
        </w:numPr>
        <w:pStyle w:val="Compact"/>
      </w:pPr>
      <w:r>
        <w:t xml:space="preserve">Ocean Freight Emission Factor: 0.016 kg CO2e/tonne-km</w:t>
      </w:r>
    </w:p>
    <w:p>
      <w:pPr>
        <w:numPr>
          <w:ilvl w:val="0"/>
          <w:numId w:val="1009"/>
        </w:numPr>
        <w:pStyle w:val="Compact"/>
      </w:pPr>
      <w:r>
        <w:t xml:space="preserve">Calculation: (2 kg / 1000 kg/tonne) * 8,000 km * 0.016 kgCO2e/tonne-km = 0.002 tonne * 8,000 km * 0.016 kgCO2e/tonne-km = 0.256 kgCO2e/unit</w:t>
      </w:r>
    </w:p>
    <w:p>
      <w:pPr>
        <w:pStyle w:val="FirstParagraph"/>
      </w:pPr>
      <w:r>
        <w:rPr>
          <w:bCs/>
          <w:b/>
        </w:rPr>
        <w:t xml:space="preserve">Illustrative Scope 3, Category 4 Emissions (Upstream Transport): 0.26 kgCO2e/unit</w:t>
      </w:r>
    </w:p>
    <w:bookmarkEnd w:id="35"/>
    <w:bookmarkStart w:id="36" w:name="X7e52e5e35c19c8214b9311bc6f2d372b70ec3e2"/>
    <w:p>
      <w:pPr>
        <w:pStyle w:val="Heading4"/>
      </w:pPr>
      <w:r>
        <w:t xml:space="preserve">Category 9: Downstream Transportation and Distribution (Factory to Customer - Last-Mile)</w:t>
      </w:r>
    </w:p>
    <w:p>
      <w:pPr>
        <w:numPr>
          <w:ilvl w:val="0"/>
          <w:numId w:val="1010"/>
        </w:numPr>
        <w:pStyle w:val="Compact"/>
      </w:pPr>
      <w:r>
        <w:t xml:space="preserve">Product Weight: 2 kg/unit</w:t>
      </w:r>
    </w:p>
    <w:p>
      <w:pPr>
        <w:numPr>
          <w:ilvl w:val="0"/>
          <w:numId w:val="1010"/>
        </w:numPr>
        <w:pStyle w:val="Compact"/>
      </w:pPr>
      <w:r>
        <w:t xml:space="preserve">Delivery Type: Road Freight (Van) (Delivery Type)</w:t>
      </w:r>
    </w:p>
    <w:p>
      <w:pPr>
        <w:numPr>
          <w:ilvl w:val="0"/>
          <w:numId w:val="1010"/>
        </w:numPr>
        <w:pStyle w:val="Compact"/>
      </w:pPr>
      <w:r>
        <w:t xml:space="preserve">Assumed Last-Mile Distance: 500 km</w:t>
      </w:r>
    </w:p>
    <w:p>
      <w:pPr>
        <w:numPr>
          <w:ilvl w:val="0"/>
          <w:numId w:val="1010"/>
        </w:numPr>
        <w:pStyle w:val="Compact"/>
      </w:pPr>
      <w:r>
        <w:t xml:space="preserve">Road Freight (Van) Emission Factor: 0.1 kg CO2e/tonne-km (Illustrative)</w:t>
      </w:r>
    </w:p>
    <w:p>
      <w:pPr>
        <w:numPr>
          <w:ilvl w:val="0"/>
          <w:numId w:val="1010"/>
        </w:numPr>
        <w:pStyle w:val="Compact"/>
      </w:pPr>
      <w:r>
        <w:t xml:space="preserve">Calculation: (2 kg / 1000 kg/tonne) * 500 km * 0.1 kgCO2e/tonne-km = 0.002 tonne * 500 km * 0.1 kgCO2e/tonne-km = 0.10 kgCO2e/unit</w:t>
      </w:r>
    </w:p>
    <w:p>
      <w:pPr>
        <w:pStyle w:val="FirstParagraph"/>
      </w:pPr>
      <w:r>
        <w:rPr>
          <w:bCs/>
          <w:b/>
        </w:rPr>
        <w:t xml:space="preserve">Illustrative Scope 3, Category 9 Emissions (Last-Mile): 0.10 kgCO2e/unit</w:t>
      </w:r>
    </w:p>
    <w:bookmarkEnd w:id="36"/>
    <w:bookmarkStart w:id="37" w:name="X1e1874eb41ab6beb9d87c4a0734f92ee1920580"/>
    <w:p>
      <w:pPr>
        <w:pStyle w:val="Heading4"/>
      </w:pPr>
      <w:r>
        <w:t xml:space="preserve">Category 11: Use of Sold Products (Europe Focused)</w:t>
      </w:r>
    </w:p>
    <w:p>
      <w:pPr>
        <w:pStyle w:val="FirstParagraph"/>
      </w:pPr>
      <w:r>
        <w:t xml:space="preserve">Emissions from the energy consumption during the product\'s use phase.</w:t>
      </w:r>
    </w:p>
    <w:p>
      <w:pPr>
        <w:numPr>
          <w:ilvl w:val="0"/>
          <w:numId w:val="1011"/>
        </w:numPr>
        <w:pStyle w:val="Compact"/>
      </w:pPr>
      <w:r>
        <w:t xml:space="preserve">Product Lifespan: 5 years (pesppforft)</w:t>
      </w:r>
    </w:p>
    <w:p>
      <w:pPr>
        <w:numPr>
          <w:ilvl w:val="0"/>
          <w:numId w:val="1011"/>
        </w:numPr>
        <w:pStyle w:val="Compact"/>
      </w:pPr>
      <w:r>
        <w:t xml:space="preserve">Energy Consumption in Use: 18 kWh/year (whmuxqjgsr)</w:t>
      </w:r>
    </w:p>
    <w:p>
      <w:pPr>
        <w:numPr>
          <w:ilvl w:val="0"/>
          <w:numId w:val="1011"/>
        </w:numPr>
        <w:pStyle w:val="Compact"/>
      </w:pPr>
      <w:r>
        <w:t xml:space="preserve">Electricity Grid Emission Factor (Europe): 0.24 kg CO2e/kWh</w:t>
      </w:r>
    </w:p>
    <w:p>
      <w:pPr>
        <w:numPr>
          <w:ilvl w:val="0"/>
          <w:numId w:val="1011"/>
        </w:numPr>
        <w:pStyle w:val="Compact"/>
      </w:pPr>
      <w:r>
        <w:t xml:space="preserve">Calculation: 5 years * 18 kWh/year * 0.24 kgCO2e/kWh = 21.6 kgCO2e/unit</w:t>
      </w:r>
    </w:p>
    <w:p>
      <w:pPr>
        <w:pStyle w:val="FirstParagraph"/>
      </w:pPr>
      <w:r>
        <w:rPr>
          <w:bCs/>
          <w:b/>
        </w:rPr>
        <w:t xml:space="preserve">Illustrative Scope 3, Category 11 Emissions: 21.60 kgCO2e/unit</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and avoided emissions from disposal and recycling scenarios.</w:t>
      </w:r>
    </w:p>
    <w:p>
      <w:pPr>
        <w:numPr>
          <w:ilvl w:val="0"/>
          <w:numId w:val="1012"/>
        </w:numPr>
        <w:pStyle w:val="Compact"/>
      </w:pPr>
      <w:r>
        <w:t xml:space="preserve">Product Weight: 2 kg/unit</w:t>
      </w:r>
    </w:p>
    <w:p>
      <w:pPr>
        <w:numPr>
          <w:ilvl w:val="0"/>
          <w:numId w:val="1012"/>
        </w:numPr>
        <w:pStyle w:val="Compact"/>
      </w:pPr>
      <w:r>
        <w:t xml:space="preserve">Recyclability Percentage: 60% (vneeeehwfh)</w:t>
      </w:r>
    </w:p>
    <w:p>
      <w:pPr>
        <w:numPr>
          <w:ilvl w:val="0"/>
          <w:numId w:val="1012"/>
        </w:numPr>
        <w:pStyle w:val="Compact"/>
      </w:pPr>
      <w:r>
        <w:t xml:space="preserve">Circular/Take-back Programs: Active Circularity &amp; Take-back Program (inftpzpqrn)</w:t>
      </w:r>
    </w:p>
    <w:p>
      <w:pPr>
        <w:numPr>
          <w:ilvl w:val="0"/>
          <w:numId w:val="1012"/>
        </w:numPr>
        <w:pStyle w:val="Compact"/>
      </w:pPr>
      <w:r>
        <w:t xml:space="preserve">Mass to Landfill: 2 kg * (1 - 0.60) = 0.8 kg/unit</w:t>
      </w:r>
    </w:p>
    <w:p>
      <w:pPr>
        <w:numPr>
          <w:ilvl w:val="0"/>
          <w:numId w:val="1012"/>
        </w:numPr>
        <w:pStyle w:val="Compact"/>
      </w:pPr>
      <w:r>
        <w:t xml:space="preserve">Mass Recycled: 2 kg * 0.60 = 1.2 kg/unit</w:t>
      </w:r>
    </w:p>
    <w:p>
      <w:pPr>
        <w:numPr>
          <w:ilvl w:val="0"/>
          <w:numId w:val="1012"/>
        </w:numPr>
        <w:pStyle w:val="Compact"/>
      </w:pPr>
      <w:r>
        <w:t xml:space="preserve">Emissions from Landfill: 0.8 kg/unit * 0.05 kgCO2e/kg = 0.04 kgCO2e/unit</w:t>
      </w:r>
    </w:p>
    <w:p>
      <w:pPr>
        <w:numPr>
          <w:ilvl w:val="0"/>
          <w:numId w:val="1012"/>
        </w:numPr>
        <w:pStyle w:val="Compact"/>
      </w:pPr>
      <w:r>
        <w:t xml:space="preserve">Avoided Emissions from Recycling: 1.2 kg/unit * -1.0 kgCO2e/kg = -1.20 kgCO2e/unit (representing a benefit)</w:t>
      </w:r>
    </w:p>
    <w:p>
      <w:pPr>
        <w:numPr>
          <w:ilvl w:val="0"/>
          <w:numId w:val="1012"/>
        </w:numPr>
        <w:pStyle w:val="Compact"/>
      </w:pPr>
      <w:r>
        <w:t xml:space="preserve">Net EoL Emissions: 0.04 - 1.20 = -1.16 kgCO2e/unit</w:t>
      </w:r>
    </w:p>
    <w:p>
      <w:pPr>
        <w:pStyle w:val="FirstParagraph"/>
      </w:pPr>
      <w:r>
        <w:rPr>
          <w:bCs/>
          <w:b/>
        </w:rPr>
        <w:t xml:space="preserve">Illustrative Scope 3, Category 12 Emissions: -1.16 kgCO2e/unit</w:t>
      </w:r>
    </w:p>
    <w:bookmarkEnd w:id="38"/>
    <w:bookmarkEnd w:id="39"/>
    <w:bookmarkStart w:id="40" w:name="application-of-2026-lsr-update"/>
    <w:p>
      <w:pPr>
        <w:pStyle w:val="Heading3"/>
      </w:pPr>
      <w:r>
        <w:t xml:space="preserve">Application of 2026 LSR Update</w:t>
      </w:r>
    </w:p>
    <w:p>
      <w:pPr>
        <w:pStyle w:val="FirstParagraph"/>
      </w:pPr>
      <w:r>
        <w:t xml:space="preserve">For the product \'kqzlxsqdyf\', which is assumed to be an manufactured electronic or mechanical device, direct land-use change emissions or significant carbon removals from biological processes (e.g., afforestation, carbon sequestration in bio-based products) are generally not a primary factor within its PCF. However, if any raw materials detailed in a structured \'zpyugeuo\' were bio-based or involved specific land-use intensive processes, the LSR Standard would necessitate accounting for associated emissions (e.g., N2O from fertilizers, CO2 from deforestation) or removals (e.g., carbon sequestration in timber). This report acknowledges the LSR Standard but notes its limited direct applicability to the current product\'s assumed material composition for this illustrative analysis.</w:t>
      </w:r>
    </w:p>
    <w:bookmarkEnd w:id="40"/>
    <w:bookmarkStart w:id="41" w:name="scope-3-coverage"/>
    <w:p>
      <w:pPr>
        <w:pStyle w:val="Heading3"/>
      </w:pPr>
      <w:r>
        <w:t xml:space="preserve">Scope 3 Coverage</w:t>
      </w:r>
    </w:p>
    <w:p>
      <w:pPr>
        <w:pStyle w:val="FirstParagraph"/>
      </w:pPr>
      <w:r>
        <w:t xml:space="preserve">By including upstream materials, manufacturing energy, transportation (upstream and downstream), use phase, and end-of-life, this analysis aims to provide comprehensive Scope 3 coverage. Based on the illustrative data and assumed hotspots, these categories are expected to cover well over 95% of the product\'s total value chain emissions, satisfying the 2026 requirements.</w:t>
      </w:r>
    </w:p>
    <w:bookmarkEnd w:id="41"/>
    <w:bookmarkStart w:id="42" w:name="X81a5c6bb43453a1e11e8422386c87856db8fbf3"/>
    <w:p>
      <w:pPr>
        <w:pStyle w:val="Heading3"/>
      </w:pPr>
      <w:r>
        <w:t xml:space="preserve">Summary of Illustrative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Illustrative CO2e (kg/unit)</w:t>
            </w:r>
          </w:p>
        </w:tc>
      </w:tr>
      <w:tr>
        <w:tc>
          <w:tcPr/>
          <w:p>
            <w:pPr>
              <w:pStyle w:val="Compact"/>
              <w:jc w:val="left"/>
            </w:pPr>
            <w:r>
              <w:t xml:space="preserve">Scope 1 (Direct Emissions)</w:t>
            </w:r>
          </w:p>
        </w:tc>
        <w:tc>
          <w:tcPr/>
          <w:p>
            <w:pPr>
              <w:pStyle w:val="Compact"/>
              <w:jc w:val="left"/>
            </w:pPr>
            <w:r>
              <w:t xml:space="preserve">Operational Emissions (assumed negligible for PCF)</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Electricity for Manufacturing</w:t>
            </w:r>
          </w:p>
        </w:tc>
        <w:tc>
          <w:tcPr/>
          <w:p>
            <w:pPr>
              <w:pStyle w:val="Compact"/>
              <w:jc w:val="left"/>
            </w:pPr>
            <w:r>
              <w:t xml:space="preserve">4.32</w:t>
            </w:r>
          </w:p>
        </w:tc>
      </w:tr>
      <w:tr>
        <w:tc>
          <w:tcPr>
            <w:vMerge w:val="restart"/>
          </w:tcPr>
          <w:p>
            <w:pPr>
              <w:pStyle w:val="Compact"/>
              <w:jc w:val="left"/>
            </w:pPr>
            <w:r>
              <w:t xml:space="preserve">Scope 3 (Value Chain Emissions)</w:t>
            </w:r>
          </w:p>
        </w:tc>
        <w:tc>
          <w:tcPr/>
          <w:p>
            <w:pPr>
              <w:pStyle w:val="Compact"/>
              <w:jc w:val="left"/>
            </w:pPr>
            <w:r>
              <w:t xml:space="preserve">Category 1: Upstream Materials</w:t>
            </w:r>
          </w:p>
        </w:tc>
        <w:tc>
          <w:tcPr/>
          <w:p>
            <w:pPr>
              <w:pStyle w:val="Compact"/>
              <w:jc w:val="left"/>
            </w:pPr>
            <w:r>
              <w:t xml:space="preserve">15.02</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0.26</w:t>
            </w:r>
          </w:p>
        </w:tc>
      </w:tr>
      <w:tr>
        <w:tc>
          <w:tcPr>
            <w:gridSpan w:val="1"/>
            <w:vMerge w:val="continue"/>
          </w:tcPr>
          <w:p>
            <w:pPr/>
          </w:p>
        </w:tc>
        <w:tc>
          <w:tcPr/>
          <w:p>
            <w:pPr>
              <w:pStyle w:val="Compact"/>
              <w:jc w:val="left"/>
            </w:pPr>
            <w:r>
              <w:t xml:space="preserve">Category 9: Downstream Transportation (Last-Mile)</w:t>
            </w:r>
          </w:p>
        </w:tc>
        <w:tc>
          <w:tcPr/>
          <w:p>
            <w:pPr>
              <w:pStyle w:val="Compact"/>
              <w:jc w:val="left"/>
            </w:pPr>
            <w:r>
              <w:t xml:space="preserve">0.10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21.60</w:t>
            </w:r>
          </w:p>
        </w:tc>
      </w:tr>
      <w:tr>
        <w:tc>
          <w:tcPr>
            <w:gridSpan w:val="1"/>
            <w:vMerge w:val="continue"/>
          </w:tcPr>
          <w:p>
            <w:pPr/>
          </w:p>
        </w:tc>
        <w:tc>
          <w:tcPr/>
          <w:p>
            <w:pPr>
              <w:pStyle w:val="Compact"/>
              <w:jc w:val="left"/>
            </w:pPr>
            <w:r>
              <w:t xml:space="preserve">Category 12: End-of-Life Treatment</w:t>
            </w:r>
          </w:p>
        </w:tc>
        <w:tc>
          <w:tcPr/>
          <w:p>
            <w:pPr>
              <w:pStyle w:val="Compact"/>
              <w:jc w:val="left"/>
            </w:pPr>
            <w:r>
              <w:t xml:space="preserve">-1.16</w:t>
            </w:r>
          </w:p>
        </w:tc>
      </w:tr>
      <w:tr>
        <w:tc>
          <w:tcPr>
            <w:gridSpan w:val="2"/>
          </w:tcPr>
          <w:p>
            <w:pPr>
              <w:pStyle w:val="Compact"/>
              <w:jc w:val="right"/>
            </w:pPr>
            <w:r>
              <w:rPr>
                <w:bCs/>
                <w:b/>
              </w:rPr>
              <w:t xml:space="preserve">Total Illustrative Product Carbon Footprint:</w:t>
            </w:r>
          </w:p>
        </w:tc>
        <w:tc>
          <w:tcPr/>
          <w:p>
            <w:pPr>
              <w:pStyle w:val="Compact"/>
              <w:jc w:val="left"/>
            </w:pPr>
            <w:r>
              <w:rPr>
                <w:bCs/>
                <w:b/>
              </w:rPr>
              <w:t xml:space="preserve">30.14</w:t>
            </w:r>
          </w:p>
        </w:tc>
      </w:tr>
    </w:tbl>
    <w:p>
      <w:r>
        <w:pict>
          <v:rect style="width:0;height:1.5pt" o:hralign="center" o:hrstd="t" o:hr="t"/>
        </w:pict>
      </w:r>
    </w:p>
    <w:bookmarkEnd w:id="42"/>
    <w:bookmarkEnd w:id="43"/>
    <w:bookmarkStart w:id="48" w:name="review-report"/>
    <w:p>
      <w:pPr>
        <w:pStyle w:val="Heading2"/>
      </w:pPr>
      <w:r>
        <w:t xml:space="preserve">5. Review &amp; Report</w:t>
      </w:r>
    </w:p>
    <w:bookmarkStart w:id="44" w:name="X2c1624198a04bef4d46d85852cce4b63aeed997"/>
    <w:p>
      <w:pPr>
        <w:pStyle w:val="Heading3"/>
      </w:pPr>
      <w:r>
        <w:t xml:space="preserve">Overall Illustrative Product Carbon Footprint</w:t>
      </w:r>
    </w:p>
    <w:p>
      <w:pPr>
        <w:pStyle w:val="FirstParagraph"/>
      </w:pPr>
      <w:r>
        <w:t xml:space="preserve">The total illustrative Product Carbon Footprint for one unit of \'kqzlxsqdyf\' is calculated to be</w:t>
      </w:r>
      <w:r>
        <w:t xml:space="preserve"> </w:t>
      </w:r>
      <w:r>
        <w:rPr>
          <w:bCs/>
          <w:b/>
        </w:rPr>
        <w:t xml:space="preserve">30.14 kg CO2e</w:t>
      </w:r>
      <w:r>
        <w:t xml:space="preserve">.</w:t>
      </w:r>
    </w:p>
    <w:bookmarkEnd w:id="44"/>
    <w:bookmarkStart w:id="45" w:name="emission-hotspots"/>
    <w:p>
      <w:pPr>
        <w:pStyle w:val="Heading3"/>
      </w:pPr>
      <w:r>
        <w:t xml:space="preserve">Emission Hotspots</w:t>
      </w:r>
    </w:p>
    <w:p>
      <w:pPr>
        <w:pStyle w:val="FirstParagraph"/>
      </w:pPr>
      <w:r>
        <w:t xml:space="preserve">Based on this illustrative analysis, the primary emission hotspots for \'kqzlxsqdyf\' are:</w:t>
      </w:r>
    </w:p>
    <w:p>
      <w:pPr>
        <w:numPr>
          <w:ilvl w:val="0"/>
          <w:numId w:val="1013"/>
        </w:numPr>
        <w:pStyle w:val="Compact"/>
      </w:pPr>
      <w:r>
        <w:rPr>
          <w:bCs/>
          <w:b/>
        </w:rPr>
        <w:t xml:space="preserve">Use Phase (Category 11):</w:t>
      </w:r>
      <w:r>
        <w:t xml:space="preserve"> </w:t>
      </w:r>
      <w:r>
        <w:t xml:space="preserve">Accounting for approximately 71.7% of the total PCF, the energy consumed during the product\'s lifespan is the most significant contributor. This is largely influenced by the product\'s energy efficiency, lifespan, and the carbon intensity of the electricity grid where it is used (Europe in this case).</w:t>
      </w:r>
    </w:p>
    <w:p>
      <w:pPr>
        <w:numPr>
          <w:ilvl w:val="0"/>
          <w:numId w:val="1013"/>
        </w:numPr>
        <w:pStyle w:val="Compact"/>
      </w:pPr>
      <w:r>
        <w:rPr>
          <w:bCs/>
          <w:b/>
        </w:rPr>
        <w:t xml:space="preserve">Upstream Materials (Category 1):</w:t>
      </w:r>
      <w:r>
        <w:t xml:space="preserve"> </w:t>
      </w:r>
      <w:r>
        <w:t xml:space="preserve">Materials account for approximately 49.8% of the total PCF. Specific components like the Lithium-ion Battery, Electronic PCB Assembly, and Plastic Casing are notable contributors due to their manufacturing processes and raw material extraction.</w:t>
      </w:r>
    </w:p>
    <w:p>
      <w:pPr>
        <w:numPr>
          <w:ilvl w:val="0"/>
          <w:numId w:val="1013"/>
        </w:numPr>
        <w:pStyle w:val="Compact"/>
      </w:pPr>
      <w:r>
        <w:rPr>
          <w:bCs/>
          <w:b/>
        </w:rPr>
        <w:t xml:space="preserve">Purchased Electricity (Scope 2):</w:t>
      </w:r>
      <w:r>
        <w:t xml:space="preserve"> </w:t>
      </w:r>
      <w:r>
        <w:t xml:space="preserve">Emissions from manufacturing electricity represent about 14.3% of the total footprint, despite 40% renewable energy usage. The remaining reliance on the Chinese grid mix contributes substantially.</w:t>
      </w:r>
    </w:p>
    <w:p>
      <w:pPr>
        <w:numPr>
          <w:ilvl w:val="0"/>
          <w:numId w:val="1013"/>
        </w:numPr>
        <w:pStyle w:val="Compact"/>
      </w:pPr>
      <w:r>
        <w:rPr>
          <w:bCs/>
          <w:b/>
        </w:rPr>
        <w:t xml:space="preserve">End-of-Life (Category 12):</w:t>
      </w:r>
      <w:r>
        <w:t xml:space="preserve"> </w:t>
      </w:r>
      <w:r>
        <w:t xml:space="preserve">This phase shows a net benefit, indicating that the avoided emissions from recycling outweigh the emissions from landfilling the non-recycled portion. This highlights the positive impact of \'ukjxrhhkek\'s Active Circularity &amp; Take-back Program.</w:t>
      </w:r>
    </w:p>
    <w:p>
      <w:pPr>
        <w:pStyle w:val="FirstParagraph"/>
      </w:pPr>
      <w:r>
        <w:rPr>
          <w:iCs/>
          <w:i/>
        </w:rPr>
        <w:t xml:space="preserve">Note: Percentages are relative to the sum of all positive emissions. Net footprint includes negative EoL.</w:t>
      </w:r>
    </w:p>
    <w:bookmarkEnd w:id="45"/>
    <w:bookmarkStart w:id="46" w:name="data-reliability-and-limitations"/>
    <w:p>
      <w:pPr>
        <w:pStyle w:val="Heading3"/>
      </w:pPr>
      <w:r>
        <w:t xml:space="preserve">Data Reliability and Limitations</w:t>
      </w:r>
    </w:p>
    <w:p>
      <w:pPr>
        <w:pStyle w:val="FirstParagraph"/>
      </w:pPr>
      <w:r>
        <w:t xml:space="preserve">This report relies on a combination of illustrative input parameters and secondary emission factors from reputable sources (e.g., those referenced via Google Search, implicitly reflecting databases like Ecoinvent/DEFRA/EPA). The accuracy of the calculated footprint would be significantly enhanced with direct, primary data from \'ukjxrhhkek\' for all activity parameters, particularly for the Bill of Materials (zpyugeuo), specific transport modes and distances, and actual energy consumption during manufacturing. The lack of a parseable structured BOM (zpyugeuo) necessitated the use of an illustrative BOM, which is a key limitation for achieving true high-detail accuracy.</w:t>
      </w:r>
    </w:p>
    <w:bookmarkEnd w:id="46"/>
    <w:bookmarkStart w:id="47" w:name="recommendations-for-emission-reduction"/>
    <w:p>
      <w:pPr>
        <w:pStyle w:val="Heading3"/>
      </w:pPr>
      <w:r>
        <w:t xml:space="preserve">Recommendations for Emission Reduction</w:t>
      </w:r>
    </w:p>
    <w:p>
      <w:pPr>
        <w:pStyle w:val="FirstParagraph"/>
      </w:pPr>
      <w:r>
        <w:t xml:space="preserve">To further reduce the carbon footprint of \'kqzlxsqdyf\', \'ukjxrhhkek\' should consider the following:</w:t>
      </w:r>
    </w:p>
    <w:p>
      <w:pPr>
        <w:numPr>
          <w:ilvl w:val="0"/>
          <w:numId w:val="1014"/>
        </w:numPr>
        <w:pStyle w:val="Compact"/>
      </w:pPr>
      <w:r>
        <w:rPr>
          <w:bCs/>
          <w:b/>
        </w:rPr>
        <w:t xml:space="preserve">Optimize Use Phase:</w:t>
      </w:r>
      <w:r>
        <w:t xml:space="preserve"> </w:t>
      </w:r>
      <w:r>
        <w:t xml:space="preserve">Focus on improving the energy efficiency of the product itself (whmuxqjgsr). Explore design changes that reduce power consumption during operation or extend product lifespan (pesppforft).</w:t>
      </w:r>
    </w:p>
    <w:p>
      <w:pPr>
        <w:numPr>
          <w:ilvl w:val="0"/>
          <w:numId w:val="1014"/>
        </w:numPr>
        <w:pStyle w:val="Compact"/>
      </w:pPr>
      <w:r>
        <w:rPr>
          <w:bCs/>
          <w:b/>
        </w:rPr>
        <w:t xml:space="preserve">Material Decarbonization:</w:t>
      </w:r>
      <w:r>
        <w:t xml:space="preserve"> </w:t>
      </w:r>
      <w:r>
        <w:t xml:space="preserve">Investigate alternative, lower-carbon materials for high-impact components (e.g., batteries, electronics, plastics). Engage with suppliers to understand and reduce the embodied carbon of purchased materials.</w:t>
      </w:r>
    </w:p>
    <w:p>
      <w:pPr>
        <w:numPr>
          <w:ilvl w:val="0"/>
          <w:numId w:val="1014"/>
        </w:numPr>
        <w:pStyle w:val="Compact"/>
      </w:pPr>
      <w:r>
        <w:rPr>
          <w:bCs/>
          <w:b/>
        </w:rPr>
        <w:t xml:space="preserve">Renewable Energy Expansion:</w:t>
      </w:r>
      <w:r>
        <w:t xml:space="preserve"> </w:t>
      </w:r>
      <w:r>
        <w:t xml:space="preserve">Increase the percentage of renewable energy usage (jupwvlillq) in manufacturing facilities, particularly in regions with high grid emission factors like China. Consider power purchase agreements (PPAs) for certified renewable energy.</w:t>
      </w:r>
    </w:p>
    <w:p>
      <w:pPr>
        <w:numPr>
          <w:ilvl w:val="0"/>
          <w:numId w:val="1014"/>
        </w:numPr>
        <w:pStyle w:val="Compact"/>
      </w:pPr>
      <w:r>
        <w:rPr>
          <w:bCs/>
          <w:b/>
        </w:rPr>
        <w:t xml:space="preserve">Enhance Circularity:</w:t>
      </w:r>
      <w:r>
        <w:t xml:space="preserve"> </w:t>
      </w:r>
      <w:r>
        <w:t xml:space="preserve">Further optimize end-of-life management by increasing recyclability (vneeeehwfh) beyond 60% and strengthening take-back programs to capture more materials for reuse or high-value recycling.</w:t>
      </w:r>
    </w:p>
    <w:p>
      <w:pPr>
        <w:numPr>
          <w:ilvl w:val="0"/>
          <w:numId w:val="1014"/>
        </w:numPr>
        <w:pStyle w:val="Compact"/>
      </w:pPr>
      <w:r>
        <w:rPr>
          <w:bCs/>
          <w:b/>
        </w:rPr>
        <w:t xml:space="preserve">Logistics Optimization:</w:t>
      </w:r>
      <w:r>
        <w:t xml:space="preserve"> </w:t>
      </w:r>
      <w:r>
        <w:t xml:space="preserve">While transport is a smaller hotspot, optimizing routes, increasing load factors, and exploring lower-emission transport modes (e.g., rail instead of road for longer distances where feasible) can yield further reductions.</w:t>
      </w:r>
    </w:p>
    <w:p>
      <w:r>
        <w:pict>
          <v:rect style="width:0;height:1.5pt" o:hralign="center" o:hrstd="t" o:hr="t"/>
        </w:pict>
      </w:r>
    </w:p>
    <w:bookmarkEnd w:id="47"/>
    <w:bookmarkEnd w:id="4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kqzlxsqdyf</dc:title>
  <dc:creator/>
  <dc:description>High-detail Product Carbon Footprint (PCF) analysis report for kqzlxsqdyf, adhering to GHG Protocol and 2026 LSR Update, performed by ukjxrhhkek.</dc:description>
  <dc:language>en</dc:language>
  <cp:keywords/>
  <dcterms:created xsi:type="dcterms:W3CDTF">2026-05-30T16:01:04Z</dcterms:created>
  <dcterms:modified xsi:type="dcterms:W3CDTF">2026-05-30T16:01:04Z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