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kqtutejdnj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kqtutejdnj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uijlxmqoqp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mvthmfpwuy</w:t>
      </w:r>
    </w:p>
    <w:p>
      <w:pPr>
        <w:pStyle w:val="BodyText"/>
      </w:pPr>
      <w:r>
        <w:t xml:space="preserve">This report is generated based on available data, industry standards, and reasonable assumptions for placeholder values.</w:t>
      </w:r>
      <w:r>
        <w:t xml:space="preserve"> </w:t>
      </w:r>
      <w:r>
        <w:t xml:space="preserve">The accuracy of the results is dependent on the quality and completeness of the input data provided.</w:t>
      </w:r>
    </w:p>
    <w:bookmarkEnd w:id="20"/>
    <w:p>
      <w:pPr>
        <w:pStyle w:val="BodyText"/>
      </w:pPr>
      <w:r>
        <w:t xml:space="preserve">Product Carbon Footprint Report - kqtutejdnj | Generated Date: May 20, 2026</w:t>
      </w:r>
    </w:p>
    <w:bookmarkStart w:id="21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t xml:space="preserve">This document presents a high-detail Product Carbon Footprint (PCF) analysis for the product "kqtutejdnj", manufactured by uijlxmqoqp.</w:t>
      </w:r>
      <w:r>
        <w:t xml:space="preserve"> </w:t>
      </w:r>
      <w:r>
        <w:t xml:space="preserve">The analysis was conducted by mvthmfpwuy, a Senior Sustainability Consultant specializing in GHG Protocol,</w:t>
      </w:r>
      <w:r>
        <w:t xml:space="preserve"> </w:t>
      </w:r>
      <w:r>
        <w:t xml:space="preserve">to quantify the greenhouse gas (GHG) emissions across the product\'s lifecycle. This report adheres to the GHG Protocol</w:t>
      </w:r>
      <w:r>
        <w:t xml:space="preserve"> </w:t>
      </w:r>
      <w:r>
        <w:t xml:space="preserve">standards, including a forward-looking perspective on the 2026 Land Sector and Removals (LSR) Standard and aims for</w:t>
      </w:r>
      <w:r>
        <w:t xml:space="preserve"> </w:t>
      </w:r>
      <w:r>
        <w:t xml:space="preserve">at least 95% coverage for Scope 3 emissions. The total estimated Product Carbon Footprint for one functional unit of kqtutejdnj is</w:t>
      </w:r>
      <w:r>
        <w:t xml:space="preserve"> </w:t>
      </w:r>
      <w:r>
        <w:t xml:space="preserve">calculated to identify key emission hotspots and inform strategic decarbonization efforts.</w:t>
      </w:r>
    </w:p>
    <w:p>
      <w:r>
        <w:pict>
          <v:rect style="width:0;height:1.5pt" o:hralign="center" o:hrstd="t" o:hr="t"/>
        </w:pict>
      </w:r>
    </w:p>
    <w:bookmarkEnd w:id="21"/>
    <w:bookmarkStart w:id="28" w:name="methodology-and-scope-definition"/>
    <w:p>
      <w:pPr>
        <w:pStyle w:val="Heading1"/>
      </w:pPr>
      <w:r>
        <w:t xml:space="preserve">2. Methodology and Scope Definition</w:t>
      </w:r>
    </w:p>
    <w:bookmarkStart w:id="22" w:name="accounting-standard"/>
    <w:p>
      <w:pPr>
        <w:pStyle w:val="Heading2"/>
      </w:pPr>
      <w:r>
        <w:t xml:space="preserve">2.1. Accounting Standard</w:t>
      </w:r>
    </w:p>
    <w:p>
      <w:pPr>
        <w:pStyle w:val="FirstParagraph"/>
      </w:pPr>
      <w:r>
        <w:t xml:space="preserve">This Product Carbon Footprint (PCF) analysis is conducted in strict accordance with the Greenhouse Gas (GHG) Protocol.</w:t>
      </w:r>
      <w:r>
        <w:t xml:space="preserve"> </w:t>
      </w:r>
      <w:r>
        <w:t xml:space="preserve">Emissions are categorized into Scope 1 (direct emissions from owned or controlled sources), Scope 2 (indirect emissions from</w:t>
      </w:r>
      <w:r>
        <w:t xml:space="preserve"> </w:t>
      </w:r>
      <w:r>
        <w:t xml:space="preserve">the generation of purchased electricity, steam, heating, and cooling), and Scope 3 (all other indirect emissions that occur in</w:t>
      </w:r>
      <w:r>
        <w:t xml:space="preserve"> </w:t>
      </w:r>
      <w:r>
        <w:t xml:space="preserve">the value chain, both upstream and downstream). Compliance with the 2026 requirements for at least 95% Scope 3 coverage</w:t>
      </w:r>
      <w:r>
        <w:t xml:space="preserve"> </w:t>
      </w:r>
      <w:r>
        <w:t xml:space="preserve">has been a guiding principle in this analysis.</w:t>
      </w:r>
    </w:p>
    <w:bookmarkEnd w:id="22"/>
    <w:bookmarkStart w:id="23" w:name="functional-unit"/>
    <w:p>
      <w:pPr>
        <w:pStyle w:val="Heading2"/>
      </w:pPr>
      <w:r>
        <w:t xml:space="preserve">2.2. Functional Unit</w:t>
      </w:r>
    </w:p>
    <w:p>
      <w:pPr>
        <w:pStyle w:val="FirstParagraph"/>
      </w:pPr>
      <w:r>
        <w:t xml:space="preserve">The functional unit for this PCF analysis is defined as:</w:t>
      </w:r>
      <w:r>
        <w:t xml:space="preserve"> </w:t>
      </w:r>
      <w:r>
        <w:rPr>
          <w:bCs/>
          <w:b/>
        </w:rPr>
        <w:t xml:space="preserve">1.0 unit of kqtutejdnj</w:t>
      </w:r>
      <w:r>
        <w:t xml:space="preserve">.</w:t>
      </w:r>
    </w:p>
    <w:bookmarkEnd w:id="23"/>
    <w:bookmarkStart w:id="24" w:name="system-boundary"/>
    <w:p>
      <w:pPr>
        <w:pStyle w:val="Heading2"/>
      </w:pPr>
      <w:r>
        <w:t xml:space="preserve">2.3. System Boundary</w:t>
      </w:r>
    </w:p>
    <w:p>
      <w:pPr>
        <w:pStyle w:val="FirstParagraph"/>
      </w:pPr>
      <w:r>
        <w:t xml:space="preserve">The system boundary for this assessment is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, encompassing all upstream activities from raw material</w:t>
      </w:r>
      <w:r>
        <w:t xml:space="preserve"> </w:t>
      </w:r>
      <w:r>
        <w:t xml:space="preserve">extraction, material processing, manufacturing, and transport to the point of the product leaving the final production factory.</w:t>
      </w:r>
      <w:r>
        <w:t xml:space="preserve"> </w:t>
      </w:r>
      <w:r>
        <w:t xml:space="preserve">Downstream impacts, including the use phase and end-of-life treatment, are also included to provide a comprehensive</w:t>
      </w:r>
      <w:r>
        <w:t xml:space="preserve"> </w:t>
      </w:r>
      <w:r>
        <w:t xml:space="preserve">"cradle-to-grave" perspective for completeness, beyond the strict \'factory_gate\' definition, as per best practice for PCF.</w:t>
      </w:r>
    </w:p>
    <w:bookmarkEnd w:id="24"/>
    <w:bookmarkStart w:id="25" w:name="geographic-scope"/>
    <w:p>
      <w:pPr>
        <w:pStyle w:val="Heading2"/>
      </w:pPr>
      <w:r>
        <w:t xml:space="preserve">2.4.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upstream material sourcing)</w:t>
      </w:r>
    </w:p>
    <w:bookmarkEnd w:id="25"/>
    <w:bookmarkStart w:id="26" w:name="allocation"/>
    <w:p>
      <w:pPr>
        <w:pStyle w:val="Heading2"/>
      </w:pPr>
      <w:r>
        <w:t xml:space="preserve">2.5. Allocation</w:t>
      </w:r>
    </w:p>
    <w:p>
      <w:pPr>
        <w:pStyle w:val="FirstParagraph"/>
      </w:pPr>
      <w:r>
        <w:t xml:space="preserve">An attributional Life Cycle Assessment (LCA) approach has been used for this PCF, allocating environmental impacts</w:t>
      </w:r>
      <w:r>
        <w:t xml:space="preserve"> </w:t>
      </w:r>
      <w:r>
        <w:t xml:space="preserve">directly to the functional unit based on physical causality. For co-products or multi-functional processes,</w:t>
      </w:r>
      <w:r>
        <w:t xml:space="preserve"> </w:t>
      </w:r>
      <w:r>
        <w:t xml:space="preserve">mass-based allocation has been primarily applied, unless more specific data allowed for alternative allocation methods.</w:t>
      </w:r>
    </w:p>
    <w:bookmarkEnd w:id="26"/>
    <w:bookmarkStart w:id="27" w:name="X504f4a86e01fdcfa46a4589bb1b5e0cfaad8629"/>
    <w:p>
      <w:pPr>
        <w:pStyle w:val="Heading2"/>
      </w:pPr>
      <w:r>
        <w:t xml:space="preserve">2.6. 2026 Land Sector and Removals (LSR) Standard Update</w:t>
      </w:r>
    </w:p>
    <w:p>
      <w:pPr>
        <w:pStyle w:val="FirstParagraph"/>
      </w:pPr>
      <w:r>
        <w:t xml:space="preserve">The GHG Protocol\'s Land Sector and Removals (LSR) Standard, taking effect on January 1, 2027, provides crucial</w:t>
      </w:r>
      <w:r>
        <w:t xml:space="preserve"> </w:t>
      </w:r>
      <w:r>
        <w:t xml:space="preserve">guidance for accounting for land emissions, CO₂ removals, and other land-related metrics. While detailed</w:t>
      </w:r>
      <w:r>
        <w:t xml:space="preserve"> </w:t>
      </w:r>
      <w:r>
        <w:t xml:space="preserve">implementation guidance is expected in Q2 2026, this report acknowledges its impending applicability.</w:t>
      </w:r>
      <w:r>
        <w:t xml:space="preserve"> </w:t>
      </w:r>
      <w:r>
        <w:t xml:space="preserve">For the \'factory_gate\' system boundary of kqtutejdnj, direct land use change associated with manufacturing operations is</w:t>
      </w:r>
      <w:r>
        <w:t xml:space="preserve"> </w:t>
      </w:r>
      <w:r>
        <w:t xml:space="preserve">assumed to be negligible. However, upstream land-related impacts and potential carbon removals embedded within raw materials</w:t>
      </w:r>
      <w:r>
        <w:t xml:space="preserve"> </w:t>
      </w:r>
      <w:r>
        <w:t xml:space="preserve">(e.g., bio-based materials, if applicable) are implicitly captured through the use of comprehensive emission factors for materials.</w:t>
      </w:r>
      <w:r>
        <w:t xml:space="preserve"> </w:t>
      </w:r>
      <w:r>
        <w:t xml:space="preserve">Future reports will incorporate more explicit quantification of LSR impacts as the standard\'s guidance becomes fully operational</w:t>
      </w:r>
      <w:r>
        <w:t xml:space="preserve"> </w:t>
      </w:r>
      <w:r>
        <w:t xml:space="preserve">and data availability improves.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5" w:name="lifecycle-mapping-and-data-collection"/>
    <w:p>
      <w:pPr>
        <w:pStyle w:val="Heading1"/>
      </w:pPr>
      <w:r>
        <w:t xml:space="preserve">3. Lifecycle Mapping and Data Collection</w:t>
      </w:r>
    </w:p>
    <w:bookmarkStart w:id="29" w:name="lifecycle-stages-included"/>
    <w:p>
      <w:pPr>
        <w:pStyle w:val="Heading2"/>
      </w:pPr>
      <w:r>
        <w:t xml:space="preserve">3.1. Lifecycle Stages Included:</w:t>
      </w:r>
    </w:p>
    <w:p>
      <w:pPr>
        <w:numPr>
          <w:ilvl w:val="0"/>
          <w:numId w:val="1002"/>
        </w:numPr>
        <w:pStyle w:val="Compact"/>
      </w:pPr>
      <w:r>
        <w:t xml:space="preserve">Raw Material Acquisition &amp; Processing</w:t>
      </w:r>
    </w:p>
    <w:p>
      <w:pPr>
        <w:numPr>
          <w:ilvl w:val="0"/>
          <w:numId w:val="1002"/>
        </w:numPr>
        <w:pStyle w:val="Compact"/>
      </w:pPr>
      <w:r>
        <w:t xml:space="preserve">Manufacturing (Product Assembly &amp; Production)</w:t>
      </w:r>
    </w:p>
    <w:p>
      <w:pPr>
        <w:numPr>
          <w:ilvl w:val="0"/>
          <w:numId w:val="1002"/>
        </w:numPr>
        <w:pStyle w:val="Compact"/>
      </w:pPr>
      <w:r>
        <w:t xml:space="preserve">Transportation (Upstream &amp; Downstream)</w:t>
      </w:r>
    </w:p>
    <w:p>
      <w:pPr>
        <w:numPr>
          <w:ilvl w:val="0"/>
          <w:numId w:val="1002"/>
        </w:numPr>
        <w:pStyle w:val="Compact"/>
      </w:pPr>
      <w:r>
        <w:t xml:space="preserve">Product Use Phase</w:t>
      </w:r>
    </w:p>
    <w:p>
      <w:pPr>
        <w:numPr>
          <w:ilvl w:val="0"/>
          <w:numId w:val="1002"/>
        </w:numPr>
        <w:pStyle w:val="Compact"/>
      </w:pPr>
      <w:r>
        <w:t xml:space="preserve">End-of-Life Treatment</w:t>
      </w:r>
    </w:p>
    <w:bookmarkEnd w:id="29"/>
    <w:bookmarkStart w:id="30" w:name="Xac5f35cfe5175f31e385073578f8ec19cac075a"/>
    <w:p>
      <w:pPr>
        <w:pStyle w:val="Heading2"/>
      </w:pPr>
      <w:r>
        <w:t xml:space="preserve">3.2. Detailed Bill of Materials (BOM) - slouvvkh</w:t>
      </w:r>
    </w:p>
    <w:p>
      <w:pPr>
        <w:pStyle w:val="FirstParagraph"/>
      </w:pPr>
      <w:r>
        <w:t xml:space="preserve">The following Bill of Materials (BOM) represents the primary material inputs for one unit of product kqtutejdnj.</w:t>
      </w:r>
      <w:r>
        <w:t xml:space="preserve"> </w:t>
      </w:r>
      <w:r>
        <w:t xml:space="preserve">Emission factors are based on industry-standard databases (e.g., Ecoinvent/DEFRA equivalents) for the specified processes and regions,</w:t>
      </w:r>
      <w:r>
        <w:t xml:space="preserve"> </w:t>
      </w:r>
      <w:r>
        <w:t xml:space="preserve">and are sourced to reflect the Europe-focused supply chain for upstream materials and global averages where appropriate.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 (Global Mix)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(Corrugated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Emissions from Raw Material Acquisition &amp; Processing:</w:t>
      </w:r>
      <w:r>
        <w:t xml:space="preserve"> </w:t>
      </w:r>
      <w:r>
        <w:t xml:space="preserve">10.42 kgCO2e</w:t>
      </w:r>
    </w:p>
    <w:bookmarkEnd w:id="30"/>
    <w:bookmarkStart w:id="31" w:name="energy-inputs-manufacturing"/>
    <w:p>
      <w:pPr>
        <w:pStyle w:val="Heading2"/>
      </w:pPr>
      <w:r>
        <w:t xml:space="preserve">3.3. Energy Inputs (Manufacturing)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5.0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Electricity Mix:</w:t>
      </w:r>
      <w:r>
        <w:t xml:space="preserve"> </w:t>
      </w:r>
      <w:r>
        <w:t xml:space="preserve">China Grid Mix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Grid Emission Factor:</w:t>
      </w:r>
      <w:r>
        <w:t xml:space="preserve"> </w:t>
      </w:r>
      <w:r>
        <w:t xml:space="preserve">0.60 kgCO2e/kWh</w:t>
      </w:r>
    </w:p>
    <w:bookmarkEnd w:id="31"/>
    <w:bookmarkStart w:id="32" w:name="logistics-data"/>
    <w:p>
      <w:pPr>
        <w:pStyle w:val="Heading2"/>
      </w:pPr>
      <w:r>
        <w:t xml:space="preserve">3.4.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Product Mass for Transport:</w:t>
      </w:r>
      <w:r>
        <w:t xml:space="preserve"> </w:t>
      </w:r>
      <w:r>
        <w:t xml:space="preserve">1.5 kg (including packaging and accounting for components measured in units)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Upstream Transport (Materials from Europe to China factory):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Ocean Freight (Container Ship)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20,000 km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Emission Factor (Ocean Freight):</w:t>
      </w:r>
      <w:r>
        <w:t xml:space="preserve"> </w:t>
      </w:r>
      <w:r>
        <w:t xml:space="preserve">0.016 kgCO2e/tonne-km (16 gCO2e/tkm)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(Factory in China to Customer):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Delivery Channel:</w:t>
      </w:r>
      <w:r>
        <w:t xml:space="preserve"> </w:t>
      </w:r>
      <w:r>
        <w:t xml:space="preserve">Road Transport (Van/Lighter HGV)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500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Emission Factor (Road Transport):</w:t>
      </w:r>
      <w:r>
        <w:t xml:space="preserve"> </w:t>
      </w:r>
      <w:r>
        <w:t xml:space="preserve">0.20 kgCO2e/tonne-km (200 gCO2e/tkm)</w:t>
      </w:r>
    </w:p>
    <w:bookmarkEnd w:id="32"/>
    <w:bookmarkStart w:id="33" w:name="product-use-phase-data"/>
    <w:p>
      <w:pPr>
        <w:pStyle w:val="Heading2"/>
      </w:pPr>
      <w:r>
        <w:t xml:space="preserve">3.5. Product Use Phase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Source for Use Phase:</w:t>
      </w:r>
      <w:r>
        <w:t xml:space="preserve"> </w:t>
      </w:r>
      <w:r>
        <w:t xml:space="preserve">Assumed global average grid mix for consumer use, approximated by China\'s grid mix for this calculation.</w:t>
      </w:r>
    </w:p>
    <w:bookmarkEnd w:id="33"/>
    <w:bookmarkStart w:id="34" w:name="end-of-life-eol-scenarios"/>
    <w:p>
      <w:pPr>
        <w:pStyle w:val="Heading2"/>
      </w:pPr>
      <w:r>
        <w:t xml:space="preserve">3.6. End-of-Life (EoL) Scenarios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Product Take-back Program in place for kqtutejdnj.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Remaining 30% Disposal:</w:t>
      </w:r>
      <w:r>
        <w:t xml:space="preserve"> </w:t>
      </w:r>
      <w:r>
        <w:t xml:space="preserve">Assumed landfill for non-recycled portion.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Average Waste Treatment Emission Factor (Landfill, for non-recycled material):</w:t>
      </w:r>
      <w:r>
        <w:t xml:space="preserve"> </w:t>
      </w:r>
      <w:r>
        <w:t xml:space="preserve">0.2 kgCO2e/kg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Recycling Credits:</w:t>
      </w:r>
    </w:p>
    <w:p>
      <w:pPr>
        <w:numPr>
          <w:ilvl w:val="1"/>
          <w:numId w:val="1009"/>
        </w:numPr>
        <w:pStyle w:val="Compact"/>
      </w:pPr>
      <w:r>
        <w:t xml:space="preserve">Aluminum: -10.0 kgCO2e/kg (avoided primary production)</w:t>
      </w:r>
    </w:p>
    <w:p>
      <w:pPr>
        <w:numPr>
          <w:ilvl w:val="1"/>
          <w:numId w:val="1009"/>
        </w:numPr>
        <w:pStyle w:val="Compact"/>
      </w:pPr>
      <w:r>
        <w:t xml:space="preserve">Plastic: -2.5 kgCO2e/kg (avoided virgin production)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6" w:name="emissions-calculation"/>
    <w:p>
      <w:pPr>
        <w:pStyle w:val="Heading1"/>
      </w:pPr>
      <w:r>
        <w:t xml:space="preserve">4. Emissions Calculation</w:t>
      </w:r>
    </w:p>
    <w:p>
      <w:pPr>
        <w:pStyle w:val="FirstParagraph"/>
      </w:pPr>
      <w:r>
        <w:t xml:space="preserve">The Product Carbon Footprint (PCF) for one functional unit of kqtutejdnj is calculated by summing the emissions from each lifecycle stage.</w:t>
      </w:r>
      <w:r>
        <w:t xml:space="preserve"> </w:t>
      </w:r>
      <w:r>
        <w:t xml:space="preserve">Emissions are categorized according to the GHG Protocol Scopes.</w:t>
      </w:r>
    </w:p>
    <w:bookmarkStart w:id="36" w:name="X1b0368d9fa279ce5f642e6e7a88ce573ab93153"/>
    <w:p>
      <w:pPr>
        <w:pStyle w:val="Heading2"/>
      </w:pPr>
      <w:r>
        <w:t xml:space="preserve">4.1. Raw Material Acquisition &amp; Processing (Scope 3 - Upstream)</w:t>
      </w:r>
    </w:p>
    <w:p>
      <w:pPr>
        <w:pStyle w:val="FirstParagraph"/>
      </w:pPr>
      <w:r>
        <w:t xml:space="preserve">Calculated directly from the Detailed Bill of Materials (slouvvkh).</w:t>
      </w:r>
    </w:p>
    <w:p>
      <w:pPr>
        <w:numPr>
          <w:ilvl w:val="0"/>
          <w:numId w:val="1010"/>
        </w:numPr>
        <w:pStyle w:val="Compact"/>
      </w:pPr>
      <w:r>
        <w:t xml:space="preserve">Aluminum Casing: 0.4 kg * 15.0 kgCO2e/kg = 6.00 kgCO2e</w:t>
      </w:r>
    </w:p>
    <w:p>
      <w:pPr>
        <w:numPr>
          <w:ilvl w:val="0"/>
          <w:numId w:val="1010"/>
        </w:numPr>
        <w:pStyle w:val="Compact"/>
      </w:pPr>
      <w:r>
        <w:t xml:space="preserve">Plastic Housing (ABS): 0.25 kg * 3.5 kgCO2e/kg = 0.88 kgCO2e</w:t>
      </w:r>
    </w:p>
    <w:p>
      <w:pPr>
        <w:numPr>
          <w:ilvl w:val="0"/>
          <w:numId w:val="1010"/>
        </w:numPr>
        <w:pStyle w:val="Compact"/>
      </w:pPr>
      <w:r>
        <w:t xml:space="preserve">Printed Circuit Board (PCB): 1.0 unit * 2.0 kgCO2e/unit = 2.00 kgCO2e</w:t>
      </w:r>
    </w:p>
    <w:p>
      <w:pPr>
        <w:numPr>
          <w:ilvl w:val="0"/>
          <w:numId w:val="1010"/>
        </w:numPr>
        <w:pStyle w:val="Compact"/>
      </w:pPr>
      <w:r>
        <w:t xml:space="preserve">Copper Wire: 0.05 kg * 8.0 kgCO2e/kg = 0.40 kgCO2e</w:t>
      </w:r>
    </w:p>
    <w:p>
      <w:pPr>
        <w:numPr>
          <w:ilvl w:val="0"/>
          <w:numId w:val="1010"/>
        </w:numPr>
        <w:pStyle w:val="Compact"/>
      </w:pPr>
      <w:r>
        <w:t xml:space="preserve">Lithium-ion Battery: 0.1 unit * 10.0 kgCO2e/unit = 1.00 kgCO2e</w:t>
      </w:r>
    </w:p>
    <w:p>
      <w:pPr>
        <w:numPr>
          <w:ilvl w:val="0"/>
          <w:numId w:val="1010"/>
        </w:numPr>
        <w:pStyle w:val="Compact"/>
      </w:pPr>
      <w:r>
        <w:t xml:space="preserve">Packaging (Corrugated Cardboard): 0.2 kg * 0.7 kgCO2e/kg = 0.14 kgCO2e</w:t>
      </w:r>
    </w:p>
    <w:p>
      <w:pPr>
        <w:pStyle w:val="FirstParagraph"/>
      </w:pPr>
      <w:r>
        <w:rPr>
          <w:bCs/>
          <w:b/>
        </w:rPr>
        <w:t xml:space="preserve">Total Material Emissions (Scope 3):</w:t>
      </w:r>
      <w:r>
        <w:t xml:space="preserve"> </w:t>
      </w:r>
      <w:r>
        <w:t xml:space="preserve">6.00 + 0.88 + 2.00 + 0.40 + 1.00 + 0.14 =</w:t>
      </w:r>
      <w:r>
        <w:t xml:space="preserve"> </w:t>
      </w:r>
      <w:r>
        <w:rPr>
          <w:bCs/>
          <w:b/>
        </w:rPr>
        <w:t xml:space="preserve">10.42 kgCO2e</w:t>
      </w:r>
    </w:p>
    <w:bookmarkEnd w:id="36"/>
    <w:bookmarkStart w:id="37" w:name="manufacturing-production-phase"/>
    <w:p>
      <w:pPr>
        <w:pStyle w:val="Heading2"/>
      </w:pPr>
      <w:r>
        <w:t xml:space="preserve">4.2. Manufacturing (Production Phase)</w:t>
      </w:r>
    </w:p>
    <w:p>
      <w:pPr>
        <w:pStyle w:val="FirstParagraph"/>
      </w:pPr>
      <w:r>
        <w:t xml:space="preserve">Emissions from purchased electricity for the manufacturing process.</w:t>
      </w:r>
    </w:p>
    <w:p>
      <w:pPr>
        <w:numPr>
          <w:ilvl w:val="0"/>
          <w:numId w:val="1011"/>
        </w:numPr>
        <w:pStyle w:val="Compact"/>
      </w:pPr>
      <w:r>
        <w:t xml:space="preserve">Energy Consumption: 5.0 kWh/unit</w:t>
      </w:r>
    </w:p>
    <w:p>
      <w:pPr>
        <w:numPr>
          <w:ilvl w:val="0"/>
          <w:numId w:val="1011"/>
        </w:numPr>
        <w:pStyle w:val="Compact"/>
      </w:pPr>
      <w:r>
        <w:t xml:space="preserve">Non-renewable portion: (1 - 50% renewable usage) = 0.50</w:t>
      </w:r>
    </w:p>
    <w:p>
      <w:pPr>
        <w:numPr>
          <w:ilvl w:val="0"/>
          <w:numId w:val="1011"/>
        </w:numPr>
        <w:pStyle w:val="Compact"/>
      </w:pPr>
      <w:r>
        <w:t xml:space="preserve">China Grid Emission Factor: 0.60 kgCO2e/kWh</w:t>
      </w:r>
    </w:p>
    <w:p>
      <w:pPr>
        <w:pStyle w:val="FirstParagraph"/>
      </w:pPr>
      <w:r>
        <w:rPr>
          <w:bCs/>
          <w:b/>
        </w:rPr>
        <w:t xml:space="preserve">Manufacturing Emissions (Scope 2):</w:t>
      </w:r>
      <w:r>
        <w:t xml:space="preserve"> </w:t>
      </w:r>
      <w:r>
        <w:t xml:space="preserve">5.0 kWh/unit * 0.50 * 0.60 kgCO2e/kWh =</w:t>
      </w:r>
      <w:r>
        <w:t xml:space="preserve"> </w:t>
      </w:r>
      <w:r>
        <w:rPr>
          <w:bCs/>
          <w:b/>
        </w:rPr>
        <w:t xml:space="preserve">1.50 kgCO2e</w:t>
      </w:r>
    </w:p>
    <w:bookmarkEnd w:id="37"/>
    <w:bookmarkStart w:id="40" w:name="transportation-emissions-scope-3"/>
    <w:p>
      <w:pPr>
        <w:pStyle w:val="Heading2"/>
      </w:pPr>
      <w:r>
        <w:t xml:space="preserve">4.3. Transportation Emissions (Scope 3)</w:t>
      </w:r>
    </w:p>
    <w:bookmarkStart w:id="38" w:name="Xfc7772f365d5720e5667ccd51c89628a3ae3952"/>
    <w:p>
      <w:pPr>
        <w:pStyle w:val="Heading3"/>
      </w:pPr>
      <w:r>
        <w:t xml:space="preserve">4.3.1. Upstream Transport (Materials to China Factory)</w:t>
      </w:r>
    </w:p>
    <w:p>
      <w:pPr>
        <w:numPr>
          <w:ilvl w:val="0"/>
          <w:numId w:val="1012"/>
        </w:numPr>
        <w:pStyle w:val="Compact"/>
      </w:pPr>
      <w:r>
        <w:t xml:space="preserve">Product Mass: 1.5 kg = 0.0015 tonnes</w:t>
      </w:r>
    </w:p>
    <w:p>
      <w:pPr>
        <w:numPr>
          <w:ilvl w:val="0"/>
          <w:numId w:val="1012"/>
        </w:numPr>
        <w:pStyle w:val="Compact"/>
      </w:pPr>
      <w:r>
        <w:t xml:space="preserve">Distance: 20,000 km</w:t>
      </w:r>
    </w:p>
    <w:p>
      <w:pPr>
        <w:numPr>
          <w:ilvl w:val="0"/>
          <w:numId w:val="1012"/>
        </w:numPr>
        <w:pStyle w:val="Compact"/>
      </w:pPr>
      <w:r>
        <w:t xml:space="preserve">Emission Factor (Ocean Freight): 0.016 kgCO2e/tonne-km</w:t>
      </w:r>
    </w:p>
    <w:p>
      <w:pPr>
        <w:pStyle w:val="FirstParagraph"/>
      </w:pPr>
      <w:r>
        <w:rPr>
          <w:bCs/>
          <w:b/>
        </w:rPr>
        <w:t xml:space="preserve">Upstream Transport Emissions (Scope 3, Cat 4):</w:t>
      </w:r>
      <w:r>
        <w:t xml:space="preserve"> </w:t>
      </w:r>
      <w:r>
        <w:t xml:space="preserve">0.0015 tonnes * 20,000 km * 0.016 kgCO2e/tonne-km =</w:t>
      </w:r>
      <w:r>
        <w:t xml:space="preserve"> </w:t>
      </w:r>
      <w:r>
        <w:rPr>
          <w:bCs/>
          <w:b/>
        </w:rPr>
        <w:t xml:space="preserve">0.48 kgCO2e</w:t>
      </w:r>
    </w:p>
    <w:bookmarkEnd w:id="38"/>
    <w:bookmarkStart w:id="39" w:name="last-mile-delivery-factory-to-customer"/>
    <w:p>
      <w:pPr>
        <w:pStyle w:val="Heading3"/>
      </w:pPr>
      <w:r>
        <w:t xml:space="preserve">4.3.2. Last-Mile Delivery (Factory to Customer)</w:t>
      </w:r>
    </w:p>
    <w:p>
      <w:pPr>
        <w:numPr>
          <w:ilvl w:val="0"/>
          <w:numId w:val="1013"/>
        </w:numPr>
        <w:pStyle w:val="Compact"/>
      </w:pPr>
      <w:r>
        <w:t xml:space="preserve">Product Mass: 1.5 kg = 0.0015 tonnes</w:t>
      </w:r>
    </w:p>
    <w:p>
      <w:pPr>
        <w:numPr>
          <w:ilvl w:val="0"/>
          <w:numId w:val="1013"/>
        </w:numPr>
        <w:pStyle w:val="Compact"/>
      </w:pPr>
      <w:r>
        <w:t xml:space="preserve">Distance: 500 km</w:t>
      </w:r>
    </w:p>
    <w:p>
      <w:pPr>
        <w:numPr>
          <w:ilvl w:val="0"/>
          <w:numId w:val="1013"/>
        </w:numPr>
        <w:pStyle w:val="Compact"/>
      </w:pPr>
      <w:r>
        <w:t xml:space="preserve">Emission Factor (Road Transport): 0.20 kgCO2e/tonne-km</w:t>
      </w:r>
    </w:p>
    <w:p>
      <w:pPr>
        <w:pStyle w:val="FirstParagraph"/>
      </w:pPr>
      <w:r>
        <w:rPr>
          <w:bCs/>
          <w:b/>
        </w:rPr>
        <w:t xml:space="preserve">Last-Mile Delivery Emissions (Scope 3, Cat 9):</w:t>
      </w:r>
      <w:r>
        <w:t xml:space="preserve"> </w:t>
      </w:r>
      <w:r>
        <w:t xml:space="preserve">0.0015 tonnes * 500 km * 0.20 kgCO2e/tonne-km =</w:t>
      </w:r>
      <w:r>
        <w:t xml:space="preserve"> </w:t>
      </w:r>
      <w:r>
        <w:rPr>
          <w:bCs/>
          <w:b/>
        </w:rPr>
        <w:t xml:space="preserve">0.15 kgCO2e</w:t>
      </w:r>
    </w:p>
    <w:p>
      <w:pPr>
        <w:pStyle w:val="BodyText"/>
      </w:pPr>
      <w:r>
        <w:rPr>
          <w:bCs/>
          <w:b/>
        </w:rPr>
        <w:t xml:space="preserve">Total Transportation Emissions (Scope 3):</w:t>
      </w:r>
      <w:r>
        <w:t xml:space="preserve"> </w:t>
      </w:r>
      <w:r>
        <w:t xml:space="preserve">0.48 + 0.15 =</w:t>
      </w:r>
      <w:r>
        <w:t xml:space="preserve"> </w:t>
      </w:r>
      <w:r>
        <w:rPr>
          <w:bCs/>
          <w:b/>
        </w:rPr>
        <w:t xml:space="preserve">0.63 kgCO2e</w:t>
      </w:r>
    </w:p>
    <w:bookmarkEnd w:id="39"/>
    <w:bookmarkEnd w:id="40"/>
    <w:bookmarkStart w:id="41" w:name="product-use-phase-scope-3---downstream"/>
    <w:p>
      <w:pPr>
        <w:pStyle w:val="Heading2"/>
      </w:pPr>
      <w:r>
        <w:t xml:space="preserve">4.4. Product Use Phase (Scope 3 - Downstream)</w:t>
      </w:r>
    </w:p>
    <w:p>
      <w:pPr>
        <w:pStyle w:val="FirstParagraph"/>
      </w:pPr>
      <w:r>
        <w:t xml:space="preserve">Emissions from electricity consumed during the product\'s lifespan.</w:t>
      </w:r>
    </w:p>
    <w:p>
      <w:pPr>
        <w:numPr>
          <w:ilvl w:val="0"/>
          <w:numId w:val="1014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4"/>
        </w:numPr>
        <w:pStyle w:val="Compact"/>
      </w:pPr>
      <w:r>
        <w:t xml:space="preserve">Product Lifespan: 5 years</w:t>
      </w:r>
    </w:p>
    <w:p>
      <w:pPr>
        <w:numPr>
          <w:ilvl w:val="0"/>
          <w:numId w:val="1014"/>
        </w:numPr>
        <w:pStyle w:val="Compact"/>
      </w:pPr>
      <w:r>
        <w:t xml:space="preserve">Assumed Grid Emission Factor (approximated by China\'s): 0.60 kgCO2e/kWh</w:t>
      </w:r>
    </w:p>
    <w:p>
      <w:pPr>
        <w:pStyle w:val="FirstParagraph"/>
      </w:pPr>
      <w:r>
        <w:rPr>
          <w:bCs/>
          <w:b/>
        </w:rPr>
        <w:t xml:space="preserve">Use Phase Emissions (Scope 3, Cat 11):</w:t>
      </w:r>
      <w:r>
        <w:t xml:space="preserve"> </w:t>
      </w:r>
      <w:r>
        <w:t xml:space="preserve">10 kWh/year * 5 years * 0.60 kgCO2e/kWh =</w:t>
      </w:r>
      <w:r>
        <w:t xml:space="preserve"> </w:t>
      </w:r>
      <w:r>
        <w:rPr>
          <w:bCs/>
          <w:b/>
        </w:rPr>
        <w:t xml:space="preserve">30.00 kgCO2e</w:t>
      </w:r>
    </w:p>
    <w:bookmarkEnd w:id="41"/>
    <w:bookmarkStart w:id="43" w:name="X9b1669a7d8f60d3ae7deb0eb2b238bce49e07f6"/>
    <w:p>
      <w:pPr>
        <w:pStyle w:val="Heading2"/>
      </w:pPr>
      <w:r>
        <w:t xml:space="preserve">4.5. End-of-Life Treatment (Scope 3 - Downstream)</w:t>
      </w:r>
    </w:p>
    <w:p>
      <w:pPr>
        <w:pStyle w:val="FirstParagraph"/>
      </w:pPr>
      <w:r>
        <w:t xml:space="preserve">Calculated based on recyclability and disposal scenarios.</w:t>
      </w:r>
      <w:r>
        <w:t xml:space="preserve"> </w:t>
      </w:r>
      <w:r>
        <w:t xml:space="preserve">Assuming the 70% recyclability applies proportionally to the main material components (Aluminum and Plastic Housing) by mass.</w:t>
      </w:r>
      <w:r>
        <w:t xml:space="preserve"> </w:t>
      </w:r>
      <w:r>
        <w:t xml:space="preserve">Total product mass contributing to EoL is approx. 0.9 kg from primary materials (Aluminum, Plastic Housing, Copper). PCB and Battery EoL are more complex and often handled separately; for simplification, we apply the 30% to the general product mass for landfill and provide credits for the specific recyclable materials.</w:t>
      </w:r>
    </w:p>
    <w:p>
      <w:pPr>
        <w:numPr>
          <w:ilvl w:val="0"/>
          <w:numId w:val="1015"/>
        </w:numPr>
        <w:pStyle w:val="Compact"/>
      </w:pPr>
      <w:r>
        <w:t xml:space="preserve">Total estimated material mass for EoL consideration: (0.4 kg Al + 0.25 kg Plastic + 0.05 kg Copper + 0.2 kg Packaging) = 0.9 kg</w:t>
      </w:r>
    </w:p>
    <w:p>
      <w:pPr>
        <w:numPr>
          <w:ilvl w:val="0"/>
          <w:numId w:val="1015"/>
        </w:numPr>
        <w:pStyle w:val="Compact"/>
      </w:pPr>
      <w:r>
        <w:t xml:space="preserve">Non-recycled portion: 30% of 0.9 kg = 0.27 kg</w:t>
      </w:r>
    </w:p>
    <w:p>
      <w:pPr>
        <w:numPr>
          <w:ilvl w:val="0"/>
          <w:numId w:val="1015"/>
        </w:numPr>
        <w:pStyle w:val="Compact"/>
      </w:pPr>
      <w:r>
        <w:t xml:space="preserve">Landfill Emission Factor: 0.2 kgCO2e/kg</w:t>
      </w:r>
    </w:p>
    <w:p>
      <w:pPr>
        <w:pStyle w:val="FirstParagraph"/>
      </w:pPr>
      <w:r>
        <w:rPr>
          <w:bCs/>
          <w:b/>
        </w:rPr>
        <w:t xml:space="preserve">Landfill Emissions (Scope 3, Cat 12):</w:t>
      </w:r>
      <w:r>
        <w:t xml:space="preserve"> </w:t>
      </w:r>
      <w:r>
        <w:t xml:space="preserve">0.27 kg * 0.2 kgCO2e/kg =</w:t>
      </w:r>
      <w:r>
        <w:t xml:space="preserve"> </w:t>
      </w:r>
      <w:r>
        <w:rPr>
          <w:bCs/>
          <w:b/>
        </w:rPr>
        <w:t xml:space="preserve">0.05 kgCO2e</w:t>
      </w:r>
    </w:p>
    <w:bookmarkStart w:id="42" w:name="recycling-credits"/>
    <w:p>
      <w:pPr>
        <w:pStyle w:val="Heading3"/>
      </w:pPr>
      <w:r>
        <w:t xml:space="preserve">4.5.1. Recycling Credits</w:t>
      </w:r>
    </w:p>
    <w:p>
      <w:pPr>
        <w:pStyle w:val="FirstParagraph"/>
      </w:pPr>
      <w:r>
        <w:t xml:space="preserve">Credits are applied for avoided primary production due to recycling the 70% recyclable materials.</w:t>
      </w:r>
    </w:p>
    <w:p>
      <w:pPr>
        <w:numPr>
          <w:ilvl w:val="0"/>
          <w:numId w:val="1016"/>
        </w:numPr>
        <w:pStyle w:val="Compact"/>
      </w:pPr>
      <w:r>
        <w:t xml:space="preserve">Recycled Aluminum: 0.4 kg * 0.70 (recyclability) * -10.0 kgCO2e/kg = -2.80 kgCO2e</w:t>
      </w:r>
    </w:p>
    <w:p>
      <w:pPr>
        <w:numPr>
          <w:ilvl w:val="0"/>
          <w:numId w:val="1016"/>
        </w:numPr>
        <w:pStyle w:val="Compact"/>
      </w:pPr>
      <w:r>
        <w:t xml:space="preserve">Recycled Plastic: 0.25 kg * 0.70 (recyclability) * -2.5 kgCO2e/kg = -0.44 kgCO2e</w:t>
      </w:r>
    </w:p>
    <w:p>
      <w:pPr>
        <w:numPr>
          <w:ilvl w:val="0"/>
          <w:numId w:val="1016"/>
        </w:numPr>
        <w:pStyle w:val="Compact"/>
      </w:pPr>
      <w:r>
        <w:t xml:space="preserve">Recycled Copper (assuming similar to Aluminum credit for simplification): 0.05 kg * 0.70 * -10.0 kgCO2e/kg = -0.35 kgCO2e</w:t>
      </w:r>
    </w:p>
    <w:p>
      <w:pPr>
        <w:pStyle w:val="FirstParagraph"/>
      </w:pPr>
      <w:r>
        <w:rPr>
          <w:bCs/>
          <w:b/>
        </w:rPr>
        <w:t xml:space="preserve">Total Recycling Credits (Scope 3, Cat 12 - Avoided Emissions):</w:t>
      </w:r>
      <w:r>
        <w:t xml:space="preserve"> </w:t>
      </w:r>
      <w:r>
        <w:t xml:space="preserve">-2.80 - 0.44 - 0.35 =</w:t>
      </w:r>
      <w:r>
        <w:t xml:space="preserve"> </w:t>
      </w:r>
      <w:r>
        <w:rPr>
          <w:bCs/>
          <w:b/>
        </w:rPr>
        <w:t xml:space="preserve">-3.59 kgCO2e</w:t>
      </w:r>
    </w:p>
    <w:p>
      <w:pPr>
        <w:pStyle w:val="BodyText"/>
      </w:pPr>
      <w:r>
        <w:rPr>
          <w:bCs/>
          <w:b/>
        </w:rPr>
        <w:t xml:space="preserve">Net End-of-Life Emissions (Scope 3):</w:t>
      </w:r>
      <w:r>
        <w:t xml:space="preserve"> </w:t>
      </w:r>
      <w:r>
        <w:t xml:space="preserve">0.05 kgCO2e - 3.59 kgCO2e =</w:t>
      </w:r>
      <w:r>
        <w:t xml:space="preserve"> </w:t>
      </w:r>
      <w:r>
        <w:rPr>
          <w:bCs/>
          <w:b/>
        </w:rPr>
        <w:t xml:space="preserve">-3.54 kgCO2e</w:t>
      </w:r>
    </w:p>
    <w:bookmarkEnd w:id="42"/>
    <w:bookmarkEnd w:id="43"/>
    <w:bookmarkStart w:id="44" w:name="summary-of-emissions-by-scope-and-stage"/>
    <w:p>
      <w:pPr>
        <w:pStyle w:val="Heading2"/>
      </w:pPr>
      <w:r>
        <w:t xml:space="preserve">4.6. Summary of Emissions by Scope and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(Downstream/Last-Mile)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Grand Total PCF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37.51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39.01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for kqtutejdnj: 39.01 kgCO2e per unit</w:t>
      </w:r>
    </w:p>
    <w:p>
      <w:pPr>
        <w:pStyle w:val="BodyText"/>
      </w:pPr>
      <w:r>
        <w:t xml:space="preserve">Note: Scope 1 emissions are assumed to be negligible for a \'factory_gate\' boundary in this context,</w:t>
      </w:r>
      <w:r>
        <w:t xml:space="preserve"> </w:t>
      </w:r>
      <w:r>
        <w:t xml:space="preserve">primarily covering direct combustion in owned/controlled sources. No specific direct fuel combustion data for the factory</w:t>
      </w:r>
      <w:r>
        <w:t xml:space="preserve"> </w:t>
      </w:r>
      <w:r>
        <w:t xml:space="preserve">itself was provided, thus focusing on Scope 2 for factory energy and Scope 3 for value chain.</w:t>
      </w:r>
    </w:p>
    <w:bookmarkEnd w:id="44"/>
    <w:bookmarkStart w:id="45" w:name="scope-3-coverage-compliance"/>
    <w:p>
      <w:pPr>
        <w:pStyle w:val="Heading2"/>
      </w:pPr>
      <w:r>
        <w:t xml:space="preserve">4.7. Scope 3 Coverage Compliance</w:t>
      </w:r>
    </w:p>
    <w:p>
      <w:pPr>
        <w:pStyle w:val="FirstParagraph"/>
      </w:pPr>
      <w:r>
        <w:t xml:space="preserve">The comprehensive inclusion of raw materials, upstream and downstream transportation, the use phase, and end-of-life</w:t>
      </w:r>
      <w:r>
        <w:t xml:space="preserve"> </w:t>
      </w:r>
      <w:r>
        <w:t xml:space="preserve">scenarios ensures a high level of Scope 3 coverage. Based on the calculated emissions, Scope 3 activities represent a</w:t>
      </w:r>
      <w:r>
        <w:t xml:space="preserve"> </w:t>
      </w:r>
      <w:r>
        <w:t xml:space="preserve">significant portion of the total footprint, exceeding the 95% coverage requirement.</w:t>
      </w:r>
      <w:r>
        <w:t xml:space="preserve"> </w:t>
      </w:r>
      <w:r>
        <w:t xml:space="preserve">Specifically, Scope 3 accounts for 37.51 kgCO2e out of a total of 39.01 kgCO2e, which is approximately 96.15% of the total footprint.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review-report"/>
    <w:p>
      <w:pPr>
        <w:pStyle w:val="Heading1"/>
      </w:pPr>
      <w:r>
        <w:t xml:space="preserve">5. Review &amp; Report</w:t>
      </w:r>
    </w:p>
    <w:bookmarkStart w:id="47" w:name="hotspots-analysis"/>
    <w:p>
      <w:pPr>
        <w:pStyle w:val="Heading2"/>
      </w:pPr>
      <w:r>
        <w:t xml:space="preserve">5.1. Hotspots Analysis</w:t>
      </w:r>
    </w:p>
    <w:p>
      <w:pPr>
        <w:pStyle w:val="FirstParagraph"/>
      </w:pPr>
      <w:r>
        <w:t xml:space="preserve">The analysis identifies the following key emission hotspots for kqtutejdnj: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Product Use Phase (30.00 kgCO2e):</w:t>
      </w:r>
      <w:r>
        <w:t xml:space="preserve"> </w:t>
      </w:r>
      <w:r>
        <w:t xml:space="preserve">This is by far the largest contributor, highlighting the importance of</w:t>
      </w:r>
      <w:r>
        <w:t xml:space="preserve"> </w:t>
      </w:r>
      <w:r>
        <w:t xml:space="preserve">energy efficiency during the product\'s operational life. Strategies to reduce this impact should focus on</w:t>
      </w:r>
      <w:r>
        <w:t xml:space="preserve"> </w:t>
      </w:r>
      <w:r>
        <w:t xml:space="preserve">designing for lower power consumption and promoting renewable energy use by end-users.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Raw Material Acquisition &amp; Processing (10.42 kgCO2e):</w:t>
      </w:r>
      <w:r>
        <w:t xml:space="preserve"> </w:t>
      </w:r>
      <w:r>
        <w:t xml:space="preserve">Materials, particularly aluminum (6.00 kgCO2e),</w:t>
      </w:r>
      <w:r>
        <w:t xml:space="preserve"> </w:t>
      </w:r>
      <w:r>
        <w:t xml:space="preserve">contribute significantly. This emphasizes the need for sourcing lower-carbon materials, increasing recycled content,</w:t>
      </w:r>
      <w:r>
        <w:t xml:space="preserve"> </w:t>
      </w:r>
      <w:r>
        <w:t xml:space="preserve">and engaging with suppliers on their decarbonization efforts.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Manufacturing (1.50 kgCO2e):</w:t>
      </w:r>
      <w:r>
        <w:t xml:space="preserve"> </w:t>
      </w:r>
      <w:r>
        <w:t xml:space="preserve">While less than the use phase, increasing the factory\'s renewable energy</w:t>
      </w:r>
      <w:r>
        <w:t xml:space="preserve"> </w:t>
      </w:r>
      <w:r>
        <w:t xml:space="preserve">usage beyond 50% can further reduce this impact.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End-of-Life (-3.54 kgCO2e):</w:t>
      </w:r>
      <w:r>
        <w:t xml:space="preserve"> </w:t>
      </w:r>
      <w:r>
        <w:t xml:space="preserve">The negative emissions indicate that the recycling credits for materials</w:t>
      </w:r>
      <w:r>
        <w:t xml:space="preserve"> </w:t>
      </w:r>
      <w:r>
        <w:t xml:space="preserve">outweigh the emissions from the non-recycled portion, demonstrating the positive impact of the high recyclability</w:t>
      </w:r>
      <w:r>
        <w:t xml:space="preserve"> </w:t>
      </w:r>
      <w:r>
        <w:t xml:space="preserve">and circular programs.</w:t>
      </w:r>
    </w:p>
    <w:bookmarkEnd w:id="47"/>
    <w:bookmarkStart w:id="48" w:name="reliability-and-limitations"/>
    <w:p>
      <w:pPr>
        <w:pStyle w:val="Heading2"/>
      </w:pPr>
      <w:r>
        <w:t xml:space="preserve">5.2. Reliability and Limitations</w:t>
      </w:r>
    </w:p>
    <w:p>
      <w:pPr>
        <w:pStyle w:val="FirstParagraph"/>
      </w:pPr>
      <w:r>
        <w:t xml:space="preserve">This PCF report provides a high-detail assessment based on the provided parameters and a robust methodology aligned with</w:t>
      </w:r>
      <w:r>
        <w:t xml:space="preserve"> </w:t>
      </w:r>
      <w:r>
        <w:t xml:space="preserve">the GHG Protocol. However, certain limitations inherent in any LCA apply: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Data Availability:</w:t>
      </w:r>
      <w:r>
        <w:t xml:space="preserve"> </w:t>
      </w:r>
      <w:r>
        <w:t xml:space="preserve">While industry-standard emission factors from sources like Ecoinvent/DEFRA equivalents</w:t>
      </w:r>
      <w:r>
        <w:t xml:space="preserve"> </w:t>
      </w:r>
      <w:r>
        <w:t xml:space="preserve">are used, primary data for all supply chain stages was not available and proxy data was utilized.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Placeholder values for transport distances, energy consumption, and specific material EFs</w:t>
      </w:r>
      <w:r>
        <w:t xml:space="preserve"> </w:t>
      </w:r>
      <w:r>
        <w:t xml:space="preserve">were established based on reasonable estimations for a generic product of this type. Variations in these actual values could</w:t>
      </w:r>
      <w:r>
        <w:t xml:space="preserve"> </w:t>
      </w:r>
      <w:r>
        <w:t xml:space="preserve">alter the final PCF.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a comprehensive \'cradle-to-grave\' perspective is applied to downstream emissions,</w:t>
      </w:r>
      <w:r>
        <w:t xml:space="preserve"> </w:t>
      </w:r>
      <w:r>
        <w:t xml:space="preserve">the "factory_gate" definition for specific elements means that some upstream corporate activities (e.g., business travel of</w:t>
      </w:r>
      <w:r>
        <w:t xml:space="preserve"> </w:t>
      </w:r>
      <w:r>
        <w:t xml:space="preserve">material suppliers not embedded in material EFs) are outside the direct calculation for this product.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The qualitative application of the 2026 LSR Standard acknowledges its future impact,</w:t>
      </w:r>
      <w:r>
        <w:t xml:space="preserve"> </w:t>
      </w:r>
      <w:r>
        <w:t xml:space="preserve">but a fully quantitative assessment will require more specific land-use data and the finalized guidance.</w:t>
      </w:r>
    </w:p>
    <w:bookmarkEnd w:id="48"/>
    <w:bookmarkStart w:id="49" w:name="recommendations"/>
    <w:p>
      <w:pPr>
        <w:pStyle w:val="Heading2"/>
      </w:pPr>
      <w:r>
        <w:t xml:space="preserve">5.3. Recommendations</w:t>
      </w:r>
    </w:p>
    <w:p>
      <w:pPr>
        <w:pStyle w:val="FirstParagraph"/>
      </w:pPr>
      <w:r>
        <w:t xml:space="preserve">To further reduce the Product Carbon Footprint of kqtutejdnj, uijlxmqoqp should consider: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to significantly reduce the energy consumption of kqtutejdnj during its operational lifespan.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Renewable Energy Sourcing:</w:t>
      </w:r>
      <w:r>
        <w:t xml:space="preserve"> </w:t>
      </w:r>
      <w:r>
        <w:t xml:space="preserve">Increase the percentage of renewable energy used in manufacturing operations in China, potentially through renewable energy certificates or direct power purchase agreements.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material suppliers (especially for aluminum) to identify and implement lower-carbon production methods and increase the use of secondary (recycled) materials.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Circular Economy Expansion:</w:t>
      </w:r>
      <w:r>
        <w:t xml:space="preserve"> </w:t>
      </w:r>
      <w:r>
        <w:t xml:space="preserve">Continue to strengthen and promote the existing product take-back program to maximize recycling rates and explore opportunities for material closed-loop systems.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kqtutejdnj</dc:title>
  <dc:creator/>
  <dc:description>High-detail Product Carbon Footprint (PCF) analysis report for kqtutejdnj, performed by mvthmfpwuy for uijlxmqoqp, adhering to GHG Protocol and 2026 LSR update.</dc:description>
  <dc:language>en</dc:language>
  <cp:keywords/>
  <dcterms:created xsi:type="dcterms:W3CDTF">2026-07-15T14:34:17Z</dcterms:created>
  <dcterms:modified xsi:type="dcterms:W3CDTF">2026-07-15T14:34:17Z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