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kqntopwfou</w:t>
      </w:r>
    </w:p>
    <w:bookmarkStart w:id="22" w:name="carboncalcpcf.com"/>
    <w:p>
      <w:pPr>
        <w:pStyle w:val="Heading1"/>
      </w:pPr>
      <w:r>
        <w:t xml:space="preserve">carboncalcpcf.com</w:t>
      </w:r>
    </w:p>
    <w:bookmarkStart w:id="21" w:name="product-carbon-footprint-analysis-report"/>
    <w:p>
      <w:pPr>
        <w:pStyle w:val="Heading2"/>
      </w:pPr>
      <w:r>
        <w:t xml:space="preserve">Product Carbon Footprint Analysis Report</w:t>
      </w:r>
    </w:p>
    <w:bookmarkStart w:id="20" w:name="for-kqntopwfou"/>
    <w:p>
      <w:pPr>
        <w:pStyle w:val="Heading3"/>
      </w:pPr>
      <w:r>
        <w:t xml:space="preserve">For: kqntopwfou</w:t>
      </w:r>
    </w:p>
    <w:p>
      <w:pPr>
        <w:pStyle w:val="FirstParagraph"/>
      </w:pPr>
      <w:r>
        <w:rPr>
          <w:bCs/>
          <w:b/>
        </w:rPr>
        <w:t xml:space="preserve">Company Name:</w:t>
      </w:r>
      <w:r>
        <w:t xml:space="preserve"> </w:t>
      </w:r>
      <w:r>
        <w:t xml:space="preserve">soijymezny</w:t>
      </w:r>
    </w:p>
    <w:p>
      <w:pPr>
        <w:pStyle w:val="BodyText"/>
      </w:pPr>
      <w:r>
        <w:rPr>
          <w:bCs/>
          <w:b/>
        </w:rPr>
        <w:t xml:space="preserve">Senior Sustainability Consultant:</w:t>
      </w:r>
      <w:r>
        <w:t xml:space="preserve"> </w:t>
      </w:r>
      <w:r>
        <w:t xml:space="preserve">mgudmtmnth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actual emissions may vary based on specific operational details and data availability. This document serves as an illustrative example of a Product Carbon Footprint analysis.</w:t>
      </w:r>
    </w:p>
    <w:bookmarkEnd w:id="20"/>
    <w:bookmarkEnd w:id="21"/>
    <w:bookmarkEnd w:id="22"/>
    <w:bookmarkStart w:id="23" w:name="Xd0899e1c44344062ab1e255900c30343fc7c3fc"/>
    <w:p>
      <w:pPr>
        <w:pStyle w:val="Heading1"/>
      </w:pPr>
      <w:r>
        <w:t xml:space="preserve">Product Carbon Footprint Analysis for kqntopwfou</w:t>
      </w:r>
    </w:p>
    <w:p>
      <w:pPr>
        <w:pStyle w:val="FirstParagraph"/>
      </w:pPr>
      <w:r>
        <w:t xml:space="preserve">Generated Date: May 28, 2026</w:t>
      </w:r>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kqntopwfou</w:t>
      </w:r>
      <w:r>
        <w:t xml:space="preserve">, manufactured by</w:t>
      </w:r>
      <w:r>
        <w:t xml:space="preserve"> </w:t>
      </w:r>
      <w:r>
        <w:rPr>
          <w:bCs/>
          <w:b/>
        </w:rPr>
        <w:t xml:space="preserve">soijymezny</w:t>
      </w:r>
      <w:r>
        <w:t xml:space="preserve">. Conducted by</w:t>
      </w:r>
      <w:r>
        <w:t xml:space="preserve"> </w:t>
      </w:r>
      <w:r>
        <w:rPr>
          <w:bCs/>
          <w:b/>
        </w:rPr>
        <w:t xml:space="preserve">mgudmtmnth</w:t>
      </w:r>
      <w:r>
        <w:t xml:space="preserve">, Senior Sustainability Consultant, this assessment adheres strictly to the GHG Protocol’s Product Standard and incorporates the 2026 Land Sector and Removals (LSR) Update. The analysis covers the full lifecycle of the product, from raw material extraction to end-of-life, with a specific focus on achieving at least 95% coverage for Scope 3 emissions as per 2026 requirements. Key emission hotspots are identified across the lifecycle stages, providing actionable insights for emissions reduction strategies.</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initial step in this Product Carbon Footprint (PCF) analysis for</w:t>
      </w:r>
      <w:r>
        <w:t xml:space="preserve"> </w:t>
      </w:r>
      <w:r>
        <w:rPr>
          <w:bCs/>
          <w:b/>
        </w:rPr>
        <w:t xml:space="preserve">kqntopwfou</w:t>
      </w:r>
      <w:r>
        <w:t xml:space="preserve"> </w:t>
      </w:r>
      <w:r>
        <w:t xml:space="preserve">involves defining the critical parameters that establish the boundaries and focus of the assessment, in accordance with the GHG Protocol Product Standard.</w:t>
      </w:r>
    </w:p>
    <w:p>
      <w:pPr>
        <w:numPr>
          <w:ilvl w:val="0"/>
          <w:numId w:val="1001"/>
        </w:numPr>
        <w:pStyle w:val="Compact"/>
      </w:pPr>
      <w:r>
        <w:rPr>
          <w:bCs/>
          <w:b/>
        </w:rPr>
        <w:t xml:space="preserve">Functional Unit:</w:t>
      </w:r>
      <w:r>
        <w:t xml:space="preserve"> </w:t>
      </w:r>
      <w:r>
        <w:t xml:space="preserve">1.0 unit of kqntopwfou.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"cradle-to-gate" boundary for initial assessment includes raw material acquisition, manufacturing, and transport to the factory gate. However, for a comprehensive PCF as per GHG Protocol and 95% Scope 3 coverage, the analysis extends to "cradle-to-grave," encompassing all lifecycle stages up to End-of-Life.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the primary location of manufacturing and the main geographic area for sourcing raw materials and components.</w:t>
      </w:r>
    </w:p>
    <w:p>
      <w:pPr>
        <w:numPr>
          <w:ilvl w:val="0"/>
          <w:numId w:val="1001"/>
        </w:numPr>
        <w:pStyle w:val="Compact"/>
      </w:pPr>
      <w:r>
        <w:rPr>
          <w:bCs/>
          <w:b/>
        </w:rPr>
        <w:t xml:space="preserve">Allocation:</w:t>
      </w:r>
      <w:r>
        <w:t xml:space="preserve"> </w:t>
      </w:r>
      <w:r>
        <w:t xml:space="preserve">Where multi-functionality of processes or co-production occurs, emissions have been allocated using appropriate physical (e.g., mass) or economic relationships, following GHG Protocol guidance to ensure accuracy and avoid double-counting.</w:t>
      </w:r>
    </w:p>
    <w:p>
      <w:pPr>
        <w:numPr>
          <w:ilvl w:val="0"/>
          <w:numId w:val="1001"/>
        </w:numPr>
        <w:pStyle w:val="Compact"/>
      </w:pPr>
      <w:r>
        <w:rPr>
          <w:bCs/>
          <w:b/>
        </w:rPr>
        <w:t xml:space="preserve">Accounting Standard:</w:t>
      </w:r>
      <w:r>
        <w:t xml:space="preserve"> </w:t>
      </w:r>
      <w:r>
        <w:t xml:space="preserve">GHG Protocol Product Standard. This analysis strictly adheres to the Greenhouse Gas Protocol\'s Product Life Cycle Accounting and Reporting Standard.</w:t>
      </w:r>
    </w:p>
    <w:p>
      <w:r>
        <w:pict>
          <v:rect style="width:0;height:1.5pt" o:hralign="center" o:hrstd="t" o:hr="t"/>
        </w:pict>
      </w:r>
    </w:p>
    <w:bookmarkEnd w:id="25"/>
    <w:bookmarkStart w:id="34" w:name="X668a29dea6996859d52024a913312988ccfa3c9"/>
    <w:p>
      <w:pPr>
        <w:pStyle w:val="Heading2"/>
      </w:pPr>
      <w:r>
        <w:t xml:space="preserve">2. Map Lifecycle (LCI Inventory Stages) &amp; 3. Collect Data</w:t>
      </w:r>
    </w:p>
    <w:p>
      <w:pPr>
        <w:pStyle w:val="FirstParagraph"/>
      </w:pPr>
      <w:r>
        <w:t xml:space="preserve">This section details the lifecycle stages and the primary and secondary data points collected for the Product Carbon Footprint of</w:t>
      </w:r>
      <w:r>
        <w:t xml:space="preserve"> </w:t>
      </w:r>
      <w:r>
        <w:rPr>
          <w:bCs/>
          <w:b/>
        </w:rPr>
        <w:t xml:space="preserve">kqntopwfou</w:t>
      </w:r>
      <w:r>
        <w:t xml:space="preserve">. Emissions are categorized into Scope 1 (direct emissions), Scope 2 (indirect emissions from purchased energy), and Scope 3 (all other indirect emissions in the value chain), as required by the GHG Protocol.</w:t>
      </w:r>
    </w:p>
    <w:bookmarkStart w:id="26" w:name="X06077b5a8e48aa38968bba4f9859f041eff9474"/>
    <w:p>
      <w:pPr>
        <w:pStyle w:val="Heading3"/>
      </w:pPr>
      <w:r>
        <w:t xml:space="preserve">Detailed Bill of Materials (BOM) - lkshfolt</w:t>
      </w:r>
    </w:p>
    <w:p>
      <w:pPr>
        <w:pStyle w:val="FirstParagraph"/>
      </w:pPr>
      <w:r>
        <w:t xml:space="preserve">The following Bill of Materials (BOM) provides a high-accuracy basis for material impact calculations, replacing generic estimates with specific data. The "Total Carbon" column directly represents the calculated CO2e for each material based on its quantity and emission factor.</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0.05 kg</w:t>
            </w:r>
          </w:p>
        </w:tc>
        <w:tc>
          <w:tcPr/>
          <w:p>
            <w:pPr>
              <w:pStyle w:val="Compact"/>
              <w:jc w:val="left"/>
            </w:pPr>
            <w:r>
              <w:t xml:space="preserve">1.0</w:t>
            </w:r>
          </w:p>
        </w:tc>
        <w:tc>
          <w:tcPr/>
          <w:p>
            <w:pPr>
              <w:pStyle w:val="Compact"/>
              <w:jc w:val="left"/>
            </w:pPr>
            <w:r>
              <w:t xml:space="preserve">0.05</w:t>
            </w:r>
          </w:p>
        </w:tc>
      </w:tr>
      <w:tr>
        <w:tc>
          <w:tcPr>
            <w:gridSpan w:val="6"/>
          </w:tcPr>
          <w:p>
            <w:pPr>
              <w:pStyle w:val="Compact"/>
              <w:jc w:val="left"/>
            </w:pPr>
            <w:r>
              <w:t xml:space="preserve">Total Material Carbon (Scope 3 - Upstream)</w:t>
            </w:r>
          </w:p>
        </w:tc>
        <w:tc>
          <w:tcPr/>
          <w:p>
            <w:pPr>
              <w:pStyle w:val="Compact"/>
              <w:jc w:val="left"/>
            </w:pPr>
            <w:r>
              <w:t xml:space="preserve">4.60</w:t>
            </w:r>
          </w:p>
        </w:tc>
      </w:tr>
    </w:tbl>
    <w:bookmarkEnd w:id="26"/>
    <w:bookmarkStart w:id="27" w:name="energy-inputs-for-production-phase"/>
    <w:p>
      <w:pPr>
        <w:pStyle w:val="Heading3"/>
      </w:pPr>
      <w:r>
        <w:t xml:space="preserve">Energy Inputs for Production Phase</w:t>
      </w:r>
    </w:p>
    <w:p>
      <w:pPr>
        <w:numPr>
          <w:ilvl w:val="0"/>
          <w:numId w:val="1002"/>
        </w:numPr>
        <w:pStyle w:val="Compact"/>
      </w:pPr>
      <w:r>
        <w:rPr>
          <w:bCs/>
          <w:b/>
        </w:rPr>
        <w:t xml:space="preserve">Energy Intensity (kWh/unit):</w:t>
      </w:r>
      <w:r>
        <w:t xml:space="preserve"> </w:t>
      </w:r>
      <w:r>
        <w:t xml:space="preserve">50 kWh/unit (trjlhyeuod)</w:t>
      </w:r>
    </w:p>
    <w:p>
      <w:pPr>
        <w:numPr>
          <w:ilvl w:val="0"/>
          <w:numId w:val="1002"/>
        </w:numPr>
        <w:pStyle w:val="Compact"/>
      </w:pPr>
      <w:r>
        <w:rPr>
          <w:bCs/>
          <w:b/>
        </w:rPr>
        <w:t xml:space="preserve">Renewable Energy Usage:</w:t>
      </w:r>
      <w:r>
        <w:t xml:space="preserve"> </w:t>
      </w:r>
      <w:r>
        <w:t xml:space="preserve">75% (iwssmryirr). This signifies that 75% of the purchased electricity for production is sourced from renewable energy, significantly reducing Scope 2 emissions.</w:t>
      </w:r>
    </w:p>
    <w:p>
      <w:pPr>
        <w:numPr>
          <w:ilvl w:val="0"/>
          <w:numId w:val="1002"/>
        </w:numPr>
        <w:pStyle w:val="Compact"/>
      </w:pPr>
      <w:r>
        <w:rPr>
          <w:bCs/>
          <w:b/>
        </w:rPr>
        <w:t xml:space="preserve">Non-Renewable Energy Usage:</w:t>
      </w:r>
      <w:r>
        <w:t xml:space="preserve"> </w:t>
      </w:r>
      <w:r>
        <w:t xml:space="preserve">25% (remaining portion). The emissions associated with this portion will be calculated using the grid mix emission factor for China.</w:t>
      </w:r>
    </w:p>
    <w:bookmarkEnd w:id="27"/>
    <w:bookmarkStart w:id="28" w:name="X20ad0bdff5af28dbb6d57eeccd0a407efcac187"/>
    <w:p>
      <w:pPr>
        <w:pStyle w:val="Heading3"/>
      </w:pPr>
      <w:r>
        <w:t xml:space="preserve">Logistics Data (Scope 3 - Upstream &amp; Downstream Transportation)</w:t>
      </w:r>
    </w:p>
    <w:p>
      <w:pPr>
        <w:numPr>
          <w:ilvl w:val="0"/>
          <w:numId w:val="1003"/>
        </w:numPr>
        <w:pStyle w:val="Compact"/>
      </w:pPr>
      <w:r>
        <w:rPr>
          <w:bCs/>
          <w:b/>
        </w:rPr>
        <w:t xml:space="preserve">Transport Mode (Inbound/Outbound):</w:t>
      </w:r>
      <w:r>
        <w:t xml:space="preserve"> </w:t>
      </w:r>
      <w:r>
        <w:t xml:space="preserve">Road Freight (Truck) (Select Mode)</w:t>
      </w:r>
    </w:p>
    <w:p>
      <w:pPr>
        <w:numPr>
          <w:ilvl w:val="0"/>
          <w:numId w:val="1003"/>
        </w:numPr>
        <w:pStyle w:val="Compact"/>
      </w:pPr>
      <w:r>
        <w:rPr>
          <w:bCs/>
          <w:b/>
        </w:rPr>
        <w:t xml:space="preserve">Transport Distance (Average):</w:t>
      </w:r>
      <w:r>
        <w:t xml:space="preserve"> </w:t>
      </w:r>
      <w:r>
        <w:t xml:space="preserve">1500 km (kyflzzoxfo) for primary transport.</w:t>
      </w:r>
    </w:p>
    <w:p>
      <w:pPr>
        <w:numPr>
          <w:ilvl w:val="0"/>
          <w:numId w:val="1003"/>
        </w:numPr>
        <w:pStyle w:val="Compact"/>
      </w:pPr>
      <w:r>
        <w:rPr>
          <w:bCs/>
          <w:b/>
        </w:rPr>
        <w:t xml:space="preserve">Last-Mile Delivery Channel:</w:t>
      </w:r>
      <w:r>
        <w:t xml:space="preserve"> </w:t>
      </w:r>
      <w:r>
        <w:t xml:space="preserve">Parcel Post (Delivery Type)</w:t>
      </w:r>
    </w:p>
    <w:p>
      <w:pPr>
        <w:numPr>
          <w:ilvl w:val="0"/>
          <w:numId w:val="1003"/>
        </w:numPr>
        <w:pStyle w:val="Compact"/>
      </w:pPr>
      <w:r>
        <w:rPr>
          <w:bCs/>
          <w:b/>
        </w:rPr>
        <w:t xml:space="preserve">Assumed Inbound/Outbound Transport Weight:</w:t>
      </w:r>
      <w:r>
        <w:t xml:space="preserve"> </w:t>
      </w:r>
      <w:r>
        <w:t xml:space="preserve">Based on product weight including packaging, e.g., 1.0 kg/unit.</w:t>
      </w:r>
    </w:p>
    <w:bookmarkEnd w:id="28"/>
    <w:bookmarkStart w:id="29" w:name="Xb9aa4662f61984cb915f9aee5e57f8e12b3caaa"/>
    <w:p>
      <w:pPr>
        <w:pStyle w:val="Heading3"/>
      </w:pPr>
      <w:r>
        <w:t xml:space="preserve">Use Phase Data (Scope 3 - Use of Sold Products)</w:t>
      </w:r>
    </w:p>
    <w:p>
      <w:pPr>
        <w:numPr>
          <w:ilvl w:val="0"/>
          <w:numId w:val="1004"/>
        </w:numPr>
        <w:pStyle w:val="Compact"/>
      </w:pPr>
      <w:r>
        <w:rPr>
          <w:bCs/>
          <w:b/>
        </w:rPr>
        <w:t xml:space="preserve">Product Lifespan:</w:t>
      </w:r>
      <w:r>
        <w:t xml:space="preserve"> </w:t>
      </w:r>
      <w:r>
        <w:t xml:space="preserve">5 years (kowykmyqho)</w:t>
      </w:r>
    </w:p>
    <w:p>
      <w:pPr>
        <w:numPr>
          <w:ilvl w:val="0"/>
          <w:numId w:val="1004"/>
        </w:numPr>
        <w:pStyle w:val="Compact"/>
      </w:pPr>
      <w:r>
        <w:rPr>
          <w:bCs/>
          <w:b/>
        </w:rPr>
        <w:t xml:space="preserve">Energy Consumption in Use:</w:t>
      </w:r>
      <w:r>
        <w:t xml:space="preserve"> </w:t>
      </w:r>
      <w:r>
        <w:t xml:space="preserve">10 kWh/year (unlqmywlfx). This represents the average annual energy required by the product during its functional life.</w:t>
      </w:r>
    </w:p>
    <w:bookmarkEnd w:id="29"/>
    <w:bookmarkStart w:id="30" w:name="Xc3456190584f7ccba4e436ac9dec7d219320967"/>
    <w:p>
      <w:pPr>
        <w:pStyle w:val="Heading3"/>
      </w:pPr>
      <w:r>
        <w:t xml:space="preserve">End-of-Life (EoL) Scenarios (Scope 3 - End-of-Life Treatment of Sold Products)</w:t>
      </w:r>
    </w:p>
    <w:p>
      <w:pPr>
        <w:numPr>
          <w:ilvl w:val="0"/>
          <w:numId w:val="1005"/>
        </w:numPr>
        <w:pStyle w:val="Compact"/>
      </w:pPr>
      <w:r>
        <w:rPr>
          <w:bCs/>
          <w:b/>
        </w:rPr>
        <w:t xml:space="preserve">Recyclability Percentage:</w:t>
      </w:r>
      <w:r>
        <w:t xml:space="preserve"> </w:t>
      </w:r>
      <w:r>
        <w:t xml:space="preserve">85% (juukxoxest). This indicates a high potential for materials recovery.</w:t>
      </w:r>
    </w:p>
    <w:p>
      <w:pPr>
        <w:numPr>
          <w:ilvl w:val="0"/>
          <w:numId w:val="1005"/>
        </w:numPr>
        <w:pStyle w:val="Compact"/>
      </w:pPr>
      <w:r>
        <w:rPr>
          <w:bCs/>
          <w:b/>
        </w:rPr>
        <w:t xml:space="preserve">Circular/Take-back Programs:</w:t>
      </w:r>
      <w:r>
        <w:t xml:space="preserve"> </w:t>
      </w:r>
      <w:r>
        <w:t xml:space="preserve">Yes, Product take-back and refurbishment program in place (gzyiiirjyh). This program actively reduces waste and extends product utility, contributing to circularity.</w:t>
      </w:r>
    </w:p>
    <w:bookmarkEnd w:id="30"/>
    <w:bookmarkStart w:id="31" w:name="ghg-protocol-scopes-categorization"/>
    <w:p>
      <w:pPr>
        <w:pStyle w:val="Heading3"/>
      </w:pPr>
      <w:r>
        <w:t xml:space="preserve">GHG Protocol Scopes Categorization</w:t>
      </w:r>
    </w:p>
    <w:p>
      <w:pPr>
        <w:numPr>
          <w:ilvl w:val="0"/>
          <w:numId w:val="1006"/>
        </w:numPr>
        <w:pStyle w:val="Compact"/>
      </w:pPr>
      <w:r>
        <w:rPr>
          <w:bCs/>
          <w:b/>
        </w:rPr>
        <w:t xml:space="preserve">Scope 1 Emissions:</w:t>
      </w:r>
      <w:r>
        <w:t xml:space="preserve"> </w:t>
      </w:r>
      <w:r>
        <w:t xml:space="preserve">Direct emissions from operations owned or controlled by soijymezny (e.g., fuel combustion in factory vehicles, on-site energy generation, if applicable). (Assumed negligible for PCF at factory_gate system boundary focus, but acknowledged for full corporate footprint).</w:t>
      </w:r>
    </w:p>
    <w:p>
      <w:pPr>
        <w:numPr>
          <w:ilvl w:val="0"/>
          <w:numId w:val="1006"/>
        </w:numPr>
        <w:pStyle w:val="Compact"/>
      </w:pPr>
      <w:r>
        <w:rPr>
          <w:bCs/>
          <w:b/>
        </w:rPr>
        <w:t xml:space="preserve">Scope 2 Emissions:</w:t>
      </w:r>
      <w:r>
        <w:t xml:space="preserve"> </w:t>
      </w:r>
      <w:r>
        <w:t xml:space="preserve">Indirect emissions from the generation of purchased electricity, heat, or steam. (Calculated based on energy intensity and renewable energy usage.)</w:t>
      </w:r>
    </w:p>
    <w:p>
      <w:pPr>
        <w:numPr>
          <w:ilvl w:val="0"/>
          <w:numId w:val="1006"/>
        </w:numPr>
        <w:pStyle w:val="Compact"/>
      </w:pPr>
      <w:r>
        <w:rPr>
          <w:bCs/>
          <w:b/>
        </w:rPr>
        <w:t xml:space="preserve">Scope 3 Emissions:</w:t>
      </w:r>
      <w:r>
        <w:t xml:space="preserve"> </w:t>
      </w:r>
      <w:r>
        <w:t xml:space="preserve">All other indirect emissions in the value chain. This is the most significant category for a PCF and includes:</w:t>
      </w:r>
    </w:p>
    <w:p>
      <w:pPr>
        <w:numPr>
          <w:ilvl w:val="1"/>
          <w:numId w:val="1007"/>
        </w:numPr>
        <w:pStyle w:val="Compact"/>
      </w:pPr>
      <w:r>
        <w:rPr>
          <w:bCs/>
          <w:b/>
        </w:rPr>
        <w:t xml:space="preserve">Upstream:</w:t>
      </w:r>
      <w:r>
        <w:t xml:space="preserve"> </w:t>
      </w:r>
      <w:r>
        <w:t xml:space="preserve">Raw material extraction and processing (from BOM), inbound transportation, production of components, manufacturing of capital goods.</w:t>
      </w:r>
    </w:p>
    <w:p>
      <w:pPr>
        <w:numPr>
          <w:ilvl w:val="1"/>
          <w:numId w:val="1007"/>
        </w:numPr>
        <w:pStyle w:val="Compact"/>
      </w:pPr>
      <w:r>
        <w:rPr>
          <w:bCs/>
          <w:b/>
        </w:rPr>
        <w:t xml:space="preserve">Downstream:</w:t>
      </w:r>
      <w:r>
        <w:t xml:space="preserve"> </w:t>
      </w:r>
      <w:r>
        <w:t xml:space="preserve">Transportation to consumer, use phase energy consumption, and end-of-life treatment.</w:t>
      </w:r>
    </w:p>
    <w:bookmarkEnd w:id="31"/>
    <w:bookmarkStart w:id="32" w:name="lsr-update-application"/>
    <w:p>
      <w:pPr>
        <w:pStyle w:val="Heading3"/>
      </w:pPr>
      <w:r>
        <w:t xml:space="preserve">2026 LSR Update Application</w:t>
      </w:r>
    </w:p>
    <w:p>
      <w:pPr>
        <w:pStyle w:val="FirstParagraph"/>
      </w:pPr>
      <w:r>
        <w:t xml:space="preserve">The Land Sector and Removals (LSR) Standard is applied by considering any land-use change emissions or carbon removals associated with the product\'s value chain. For instance, if any raw materials are sourced from land with recent deforestation or if bio-based materials contribute to carbon sequestration, these are accounted for. Given the provided parameters, direct LSR impacts are integrated into material emission factors where relevant, or considered in the context of bio-based packaging/materials, assuming best practices for sustainable sourcing.</w:t>
      </w:r>
    </w:p>
    <w:bookmarkEnd w:id="32"/>
    <w:bookmarkStart w:id="33" w:name="scope-3-compliance"/>
    <w:p>
      <w:pPr>
        <w:pStyle w:val="Heading3"/>
      </w:pPr>
      <w:r>
        <w:t xml:space="preserve">Scope 3 Compliance</w:t>
      </w:r>
    </w:p>
    <w:p>
      <w:pPr>
        <w:pStyle w:val="FirstParagraph"/>
      </w:pPr>
      <w:r>
        <w:t xml:space="preserve">Efforts have been made to ensure comprehensive Scope 3 reporting, targeting at least 95% coverage. This involves diligent data collection across all identified upstream and downstream categories, including procurement, logistics, product use, and end-of-life, utilizing primary data where available and high-quality secondary data (e.g., Ecoinvent/DEFRA database factors) for robust estimation of remaining impacts.</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for each lifecycle stage by multiplying activity data (e.g., material quantity, energy consumption, transport distance) by relevant emission factors (CO2e per unit of activity).</w:t>
      </w:r>
    </w:p>
    <w:bookmarkStart w:id="35" w:name="X29ac1d98db0d51415a9f4433a7d6c3e6963de1a"/>
    <w:p>
      <w:pPr>
        <w:pStyle w:val="Heading3"/>
      </w:pPr>
      <w:r>
        <w:t xml:space="preserve">Assumed Emission Factors (Illustrative - actual factors from Ecoinvent/DEFRA would be used)</w:t>
      </w:r>
    </w:p>
    <w:p>
      <w:pPr>
        <w:numPr>
          <w:ilvl w:val="0"/>
          <w:numId w:val="1008"/>
        </w:numPr>
        <w:pStyle w:val="Compact"/>
      </w:pPr>
      <w:r>
        <w:rPr>
          <w:bCs/>
          <w:b/>
        </w:rPr>
        <w:t xml:space="preserve">China Grid Electricity Mix:</w:t>
      </w:r>
      <w:r>
        <w:t xml:space="preserve"> </w:t>
      </w:r>
      <w:r>
        <w:t xml:space="preserve">0.65 kg CO2e/kWh (for non-renewable portion)</w:t>
      </w:r>
    </w:p>
    <w:p>
      <w:pPr>
        <w:numPr>
          <w:ilvl w:val="0"/>
          <w:numId w:val="1008"/>
        </w:numPr>
        <w:pStyle w:val="Compact"/>
      </w:pPr>
      <w:r>
        <w:rPr>
          <w:bCs/>
          <w:b/>
        </w:rPr>
        <w:t xml:space="preserve">Road Freight (Truck):</w:t>
      </w:r>
      <w:r>
        <w:t xml:space="preserve"> </w:t>
      </w:r>
      <w:r>
        <w:t xml:space="preserve">0.10 kg CO2e/tonne-km</w:t>
      </w:r>
    </w:p>
    <w:p>
      <w:pPr>
        <w:numPr>
          <w:ilvl w:val="0"/>
          <w:numId w:val="1008"/>
        </w:numPr>
        <w:pStyle w:val="Compact"/>
      </w:pPr>
      <w:r>
        <w:rPr>
          <w:bCs/>
          <w:b/>
        </w:rPr>
        <w:t xml:space="preserve">Parcel Post (Last-Mile):</w:t>
      </w:r>
      <w:r>
        <w:t xml:space="preserve"> </w:t>
      </w:r>
      <w:r>
        <w:t xml:space="preserve">0.05 kg CO2e/package-km (illustrative, varies significantly by service)</w:t>
      </w:r>
    </w:p>
    <w:p>
      <w:pPr>
        <w:numPr>
          <w:ilvl w:val="0"/>
          <w:numId w:val="1008"/>
        </w:numPr>
        <w:pStyle w:val="Compact"/>
      </w:pPr>
      <w:r>
        <w:rPr>
          <w:bCs/>
          <w:b/>
        </w:rPr>
        <w:t xml:space="preserve">End-of-Life (Landfill):</w:t>
      </w:r>
      <w:r>
        <w:t xml:space="preserve"> </w:t>
      </w:r>
      <w:r>
        <w:t xml:space="preserve">0.5 kg CO2e/kg (illustrative for non-recyclable waste)</w:t>
      </w:r>
    </w:p>
    <w:p>
      <w:pPr>
        <w:numPr>
          <w:ilvl w:val="0"/>
          <w:numId w:val="1008"/>
        </w:numPr>
        <w:pStyle w:val="Compact"/>
      </w:pPr>
      <w:r>
        <w:rPr>
          <w:bCs/>
          <w:b/>
        </w:rPr>
        <w:t xml:space="preserve">End-of-Life (Recycling Credit):</w:t>
      </w:r>
      <w:r>
        <w:t xml:space="preserve"> </w:t>
      </w:r>
      <w:r>
        <w:t xml:space="preserve">-0.5 kg CO2e/kg (illustrative credit for recycled material, assuming displaced virgin production)</w:t>
      </w:r>
    </w:p>
    <w:bookmarkEnd w:id="35"/>
    <w:bookmarkStart w:id="41" w:name="emission-calculation-by-lifecycle-stage"/>
    <w:p>
      <w:pPr>
        <w:pStyle w:val="Heading3"/>
      </w:pPr>
      <w:r>
        <w:t xml:space="preserve">Emission Calculation by Lifecycle Stage</w:t>
      </w:r>
    </w:p>
    <w:bookmarkStart w:id="36" w:name="X54b8cf8f50b11073f7697be664c811ff4b56bee"/>
    <w:p>
      <w:pPr>
        <w:pStyle w:val="Heading4"/>
      </w:pPr>
      <w:r>
        <w:t xml:space="preserve">A. Raw Material Acquisition &amp; Pre-processing (Scope 3 - Upstream)</w:t>
      </w:r>
    </w:p>
    <w:p>
      <w:pPr>
        <w:pStyle w:val="FirstParagraph"/>
      </w:pPr>
      <w:r>
        <w:t xml:space="preserve">Based on the Detailed Bill of Materials (lkshfolt):</w:t>
      </w:r>
    </w:p>
    <w:p>
      <w:pPr>
        <w:pStyle w:val="BodyText"/>
      </w:pPr>
      <w:r>
        <w:t xml:space="preserve">Total Material Carbon = 4.60 kg CO2e/unit</w:t>
      </w:r>
    </w:p>
    <w:bookmarkEnd w:id="36"/>
    <w:bookmarkStart w:id="37" w:name="b.-manufacturing-production-phase"/>
    <w:p>
      <w:pPr>
        <w:pStyle w:val="Heading4"/>
      </w:pPr>
      <w:r>
        <w:t xml:space="preserve">B. Manufacturing (Production Phase)</w:t>
      </w:r>
    </w:p>
    <w:p>
      <w:pPr>
        <w:pStyle w:val="FirstParagraph"/>
      </w:pPr>
      <w:r>
        <w:t xml:space="preserve">This includes both Scope 1 (direct operational emissions, assumed negligible here for PCF focusing on purchased energy) and Scope 2 (purchased electricity).</w:t>
      </w:r>
    </w:p>
    <w:p>
      <w:pPr>
        <w:numPr>
          <w:ilvl w:val="0"/>
          <w:numId w:val="1009"/>
        </w:numPr>
        <w:pStyle w:val="Compact"/>
      </w:pPr>
      <w:r>
        <w:t xml:space="preserve">Total Energy Intensity: 50 kWh/unit</w:t>
      </w:r>
    </w:p>
    <w:p>
      <w:pPr>
        <w:numPr>
          <w:ilvl w:val="0"/>
          <w:numId w:val="1009"/>
        </w:numPr>
        <w:pStyle w:val="Compact"/>
      </w:pPr>
      <w:r>
        <w:t xml:space="preserve">Renewable Energy Usage: 75%</w:t>
      </w:r>
    </w:p>
    <w:p>
      <w:pPr>
        <w:numPr>
          <w:ilvl w:val="0"/>
          <w:numId w:val="1009"/>
        </w:numPr>
        <w:pStyle w:val="Compact"/>
      </w:pPr>
      <w:r>
        <w:t xml:space="preserve">Non-Renewable Energy Usage: 25% of 50 kWh = 12.5 kWh/unit</w:t>
      </w:r>
    </w:p>
    <w:p>
      <w:pPr>
        <w:numPr>
          <w:ilvl w:val="0"/>
          <w:numId w:val="1009"/>
        </w:numPr>
        <w:pStyle w:val="Compact"/>
      </w:pPr>
      <w:r>
        <w:t xml:space="preserve">Emissions from Non-Renewable Energy = 12.5 kWh/unit * 0.65 kg CO2e/kWh = 8.125 kg CO2e/unit (Scope 2)</w:t>
      </w:r>
    </w:p>
    <w:p>
      <w:pPr>
        <w:pStyle w:val="FirstParagraph"/>
      </w:pPr>
      <w:r>
        <w:rPr>
          <w:bCs/>
          <w:b/>
        </w:rPr>
        <w:t xml:space="preserve">Total Manufacturing Emissions (Scope 2):</w:t>
      </w:r>
      <w:r>
        <w:t xml:space="preserve"> </w:t>
      </w:r>
      <w:r>
        <w:t xml:space="preserve">8.125 kg CO2e/unit</w:t>
      </w:r>
    </w:p>
    <w:bookmarkEnd w:id="37"/>
    <w:bookmarkStart w:id="38" w:name="Xb70e6d674b4419d6d4bb2f74b12e3a14c70d11b"/>
    <w:p>
      <w:pPr>
        <w:pStyle w:val="Heading4"/>
      </w:pPr>
      <w:r>
        <w:t xml:space="preserve">C. Transportation (Scope 3 - Upstream &amp; Downstream)</w:t>
      </w:r>
    </w:p>
    <w:p>
      <w:pPr>
        <w:pStyle w:val="FirstParagraph"/>
      </w:pPr>
      <w:r>
        <w:t xml:space="preserve">Assuming a product weight of 0.85 kg (sum of BOM material quantities) and total package weight of 1.0 kg for transport.</w:t>
      </w:r>
    </w:p>
    <w:p>
      <w:pPr>
        <w:numPr>
          <w:ilvl w:val="0"/>
          <w:numId w:val="1010"/>
        </w:numPr>
        <w:pStyle w:val="Compact"/>
      </w:pPr>
      <w:r>
        <w:rPr>
          <w:bCs/>
          <w:b/>
        </w:rPr>
        <w:t xml:space="preserve">Inbound/Outbound Primary Transport:</w:t>
      </w:r>
    </w:p>
    <w:p>
      <w:pPr>
        <w:numPr>
          <w:ilvl w:val="1"/>
          <w:numId w:val="1011"/>
        </w:numPr>
        <w:pStyle w:val="Compact"/>
      </w:pPr>
      <w:r>
        <w:t xml:space="preserve">Distance: 1500 km</w:t>
      </w:r>
    </w:p>
    <w:p>
      <w:pPr>
        <w:numPr>
          <w:ilvl w:val="1"/>
          <w:numId w:val="1011"/>
        </w:numPr>
        <w:pStyle w:val="Compact"/>
      </w:pPr>
      <w:r>
        <w:t xml:space="preserve">Weight: 1.0 kg (0.001 tonne)</w:t>
      </w:r>
    </w:p>
    <w:p>
      <w:pPr>
        <w:numPr>
          <w:ilvl w:val="1"/>
          <w:numId w:val="1011"/>
        </w:numPr>
        <w:pStyle w:val="Compact"/>
      </w:pPr>
      <w:r>
        <w:t xml:space="preserve">Emissions = 0.001 tonne * 1500 km * 0.10 kg CO2e/tonne-km = 0.15 kg CO2e/unit</w:t>
      </w:r>
    </w:p>
    <w:p>
      <w:pPr>
        <w:numPr>
          <w:ilvl w:val="0"/>
          <w:numId w:val="1010"/>
        </w:numPr>
        <w:pStyle w:val="Compact"/>
      </w:pPr>
      <w:r>
        <w:rPr>
          <w:bCs/>
          <w:b/>
        </w:rPr>
        <w:t xml:space="preserve">Last-Mile Delivery:</w:t>
      </w:r>
    </w:p>
    <w:p>
      <w:pPr>
        <w:numPr>
          <w:ilvl w:val="1"/>
          <w:numId w:val="1012"/>
        </w:numPr>
        <w:pStyle w:val="Compact"/>
      </w:pPr>
      <w:r>
        <w:t xml:space="preserve">Assume average last-mile distance: 50 km</w:t>
      </w:r>
    </w:p>
    <w:p>
      <w:pPr>
        <w:numPr>
          <w:ilvl w:val="1"/>
          <w:numId w:val="1012"/>
        </w:numPr>
        <w:pStyle w:val="Compact"/>
      </w:pPr>
      <w:r>
        <w:t xml:space="preserve">Emissions = 1 unit * 50 km * 0.05 kg CO2e/package-km = 2.50 kg CO2e/unit</w:t>
      </w:r>
    </w:p>
    <w:p>
      <w:pPr>
        <w:pStyle w:val="FirstParagraph"/>
      </w:pPr>
      <w:r>
        <w:rPr>
          <w:bCs/>
          <w:b/>
        </w:rPr>
        <w:t xml:space="preserve">Total Transportation Emissions (Scope 3):</w:t>
      </w:r>
      <w:r>
        <w:t xml:space="preserve"> </w:t>
      </w:r>
      <w:r>
        <w:t xml:space="preserve">0.15 kg CO2e/unit (Primary) + 2.50 kg CO2e/unit (Last-Mile) = 2.65 kg CO2e/unit</w:t>
      </w:r>
    </w:p>
    <w:bookmarkEnd w:id="38"/>
    <w:bookmarkStart w:id="39" w:name="X42b1944a78fad4f2cb5e7851ec8e952f75309c8"/>
    <w:p>
      <w:pPr>
        <w:pStyle w:val="Heading4"/>
      </w:pPr>
      <w:r>
        <w:t xml:space="preserve">D. Use Phase (Scope 3 - Use of Sold Products)</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Total Energy Consumption over Lifespan = 10 kWh/year * 5 years = 50 kWh/unit</w:t>
      </w:r>
    </w:p>
    <w:p>
      <w:pPr>
        <w:numPr>
          <w:ilvl w:val="0"/>
          <w:numId w:val="1013"/>
        </w:numPr>
        <w:pStyle w:val="Compact"/>
      </w:pPr>
      <w:r>
        <w:t xml:space="preserve">Assuming grid electricity mix for use phase:</w:t>
      </w:r>
    </w:p>
    <w:p>
      <w:pPr>
        <w:numPr>
          <w:ilvl w:val="1"/>
          <w:numId w:val="1014"/>
        </w:numPr>
        <w:pStyle w:val="Compact"/>
      </w:pPr>
      <w:r>
        <w:t xml:space="preserve">Emissions = 50 kWh/unit * 0.65 kg CO2e/kWh = 32.50 kg CO2e/unit</w:t>
      </w:r>
    </w:p>
    <w:p>
      <w:pPr>
        <w:pStyle w:val="FirstParagraph"/>
      </w:pPr>
      <w:r>
        <w:rPr>
          <w:bCs/>
          <w:b/>
        </w:rPr>
        <w:t xml:space="preserve">Total Use Phase Emissions (Scope 3):</w:t>
      </w:r>
      <w:r>
        <w:t xml:space="preserve"> </w:t>
      </w:r>
      <w:r>
        <w:t xml:space="preserve">32.50 kg CO2e/unit</w:t>
      </w:r>
    </w:p>
    <w:bookmarkEnd w:id="39"/>
    <w:bookmarkStart w:id="40" w:name="X393b81b773584e7bc75b7101b6b0eb4da6bb630"/>
    <w:p>
      <w:pPr>
        <w:pStyle w:val="Heading4"/>
      </w:pPr>
      <w:r>
        <w:t xml:space="preserve">E. End-of-Life (EoL) (Scope 3 - End-of-Life Treatment of Sold Products)</w:t>
      </w:r>
    </w:p>
    <w:p>
      <w:pPr>
        <w:numPr>
          <w:ilvl w:val="0"/>
          <w:numId w:val="1015"/>
        </w:numPr>
        <w:pStyle w:val="Compact"/>
      </w:pPr>
      <w:r>
        <w:t xml:space="preserve">Product Weight at EoL (excluding packaging, for material content): 0.85 kg</w:t>
      </w:r>
    </w:p>
    <w:p>
      <w:pPr>
        <w:numPr>
          <w:ilvl w:val="0"/>
          <w:numId w:val="1015"/>
        </w:numPr>
        <w:pStyle w:val="Compact"/>
      </w:pPr>
      <w:r>
        <w:t xml:space="preserve">Recyclability Percentage: 85%</w:t>
      </w:r>
    </w:p>
    <w:p>
      <w:pPr>
        <w:numPr>
          <w:ilvl w:val="0"/>
          <w:numId w:val="1015"/>
        </w:numPr>
        <w:pStyle w:val="Compact"/>
      </w:pPr>
      <w:r>
        <w:t xml:space="preserve">Non-Recyclable Portion: 15% of 0.85 kg = 0.1275 kg</w:t>
      </w:r>
    </w:p>
    <w:p>
      <w:pPr>
        <w:numPr>
          <w:ilvl w:val="0"/>
          <w:numId w:val="1015"/>
        </w:numPr>
        <w:pStyle w:val="Compact"/>
      </w:pPr>
      <w:r>
        <w:t xml:space="preserve">Recycled Portion: 85% of 0.85 kg = 0.7225 kg</w:t>
      </w:r>
    </w:p>
    <w:p>
      <w:pPr>
        <w:numPr>
          <w:ilvl w:val="0"/>
          <w:numId w:val="1015"/>
        </w:numPr>
        <w:pStyle w:val="Compact"/>
      </w:pPr>
      <w:r>
        <w:t xml:space="preserve">Emissions from Non-Recyclable Waste (e.g., landfill): 0.1275 kg * 0.5 kg CO2e/kg = 0.06375 kg CO2e/unit</w:t>
      </w:r>
    </w:p>
    <w:p>
      <w:pPr>
        <w:numPr>
          <w:ilvl w:val="0"/>
          <w:numId w:val="1015"/>
        </w:numPr>
        <w:pStyle w:val="Compact"/>
      </w:pPr>
      <w:r>
        <w:t xml:space="preserve">Recycling Benefit (credit for material recovery): 0.7225 kg * (-0.5 kg CO2e/kg) = -0.36125 kg CO2e/unit</w:t>
      </w:r>
    </w:p>
    <w:p>
      <w:pPr>
        <w:numPr>
          <w:ilvl w:val="0"/>
          <w:numId w:val="1015"/>
        </w:numPr>
        <w:pStyle w:val="Compact"/>
      </w:pPr>
      <w:r>
        <w:t xml:space="preserve">Circular/Take-back Programs (gzyiiirjyh): The product take-back and refurbishment program further reduces EoL impacts by extending product life, but this is often modeled as avoided production rather than a direct EoL emission. For simplicity in this calculation, we focus on material recycling/disposal.</w:t>
      </w:r>
    </w:p>
    <w:p>
      <w:pPr>
        <w:pStyle w:val="FirstParagraph"/>
      </w:pPr>
      <w:r>
        <w:rPr>
          <w:bCs/>
          <w:b/>
        </w:rPr>
        <w:t xml:space="preserve">Total End-of-Life Emissions (Scope 3):</w:t>
      </w:r>
      <w:r>
        <w:t xml:space="preserve"> </w:t>
      </w:r>
      <w:r>
        <w:t xml:space="preserve">0.06375 kg CO2e/unit (Disposal) - 0.36125 kg CO2e/unit (Recycling Credit) = -0.2975 kg CO2e/unit</w:t>
      </w:r>
    </w:p>
    <w:bookmarkEnd w:id="40"/>
    <w:bookmarkEnd w:id="41"/>
    <w:bookmarkStart w:id="42"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4.60</w:t>
            </w:r>
          </w:p>
        </w:tc>
      </w:tr>
      <w:tr>
        <w:tc>
          <w:tcPr/>
          <w:p>
            <w:pPr>
              <w:pStyle w:val="Compact"/>
              <w:jc w:val="left"/>
            </w:pPr>
            <w:r>
              <w:t xml:space="preserve">Manufacturing (Production)</w:t>
            </w:r>
          </w:p>
        </w:tc>
        <w:tc>
          <w:tcPr/>
          <w:p>
            <w:pPr>
              <w:pStyle w:val="Compact"/>
              <w:jc w:val="left"/>
            </w:pPr>
            <w:r>
              <w:t xml:space="preserve">Scope 2 (Purchased Electricity)</w:t>
            </w:r>
          </w:p>
        </w:tc>
        <w:tc>
          <w:tcPr/>
          <w:p>
            <w:pPr>
              <w:pStyle w:val="Compact"/>
              <w:jc w:val="left"/>
            </w:pPr>
            <w:r>
              <w:t xml:space="preserve">8.125</w:t>
            </w:r>
          </w:p>
        </w:tc>
      </w:tr>
      <w:tr>
        <w:tc>
          <w:tcPr/>
          <w:p>
            <w:pPr>
              <w:pStyle w:val="Compact"/>
              <w:jc w:val="left"/>
            </w:pPr>
            <w:r>
              <w:t xml:space="preserve">Transportation (Primary)</w:t>
            </w:r>
          </w:p>
        </w:tc>
        <w:tc>
          <w:tcPr/>
          <w:p>
            <w:pPr>
              <w:pStyle w:val="Compact"/>
              <w:jc w:val="left"/>
            </w:pPr>
            <w:r>
              <w:t xml:space="preserve">Scope 3 (Upstream)</w:t>
            </w:r>
          </w:p>
        </w:tc>
        <w:tc>
          <w:tcPr/>
          <w:p>
            <w:pPr>
              <w:pStyle w:val="Compact"/>
              <w:jc w:val="left"/>
            </w:pPr>
            <w:r>
              <w:t xml:space="preserve">0.15</w:t>
            </w:r>
          </w:p>
        </w:tc>
      </w:tr>
      <w:tr>
        <w:tc>
          <w:tcPr/>
          <w:p>
            <w:pPr>
              <w:pStyle w:val="Compact"/>
              <w:jc w:val="left"/>
            </w:pPr>
            <w:r>
              <w:t xml:space="preserve">Transportation (Last-Mile)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-0.2975</w:t>
            </w:r>
          </w:p>
        </w:tc>
      </w:tr>
      <w:tr>
        <w:tc>
          <w:tcPr>
            <w:gridSpan w:val="2"/>
          </w:tcPr>
          <w:p>
            <w:pPr>
              <w:pStyle w:val="Compact"/>
              <w:jc w:val="left"/>
            </w:pPr>
            <w:r>
              <w:t xml:space="preserve">TOTAL PRODUCT CARBON FOOTPRINT for kqntopwfou</w:t>
            </w:r>
          </w:p>
        </w:tc>
        <w:tc>
          <w:tcPr/>
          <w:p>
            <w:pPr>
              <w:pStyle w:val="Compact"/>
              <w:jc w:val="left"/>
            </w:pPr>
            <w:r>
              <w:t xml:space="preserve">47.5775</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X6e317c60c828f0f24b0ddc0699efa7a65d10654"/>
    <w:p>
      <w:pPr>
        <w:pStyle w:val="Heading3"/>
      </w:pPr>
      <w:r>
        <w:t xml:space="preserve">Product Carbon Footprint for kqntopwfou: 47.58 kg CO2e/unit</w:t>
      </w:r>
    </w:p>
    <w:bookmarkEnd w:id="44"/>
    <w:bookmarkStart w:id="45" w:name="hotspot-identification"/>
    <w:p>
      <w:pPr>
        <w:pStyle w:val="Heading3"/>
      </w:pPr>
      <w:r>
        <w:t xml:space="preserve">Hotspot Identification</w:t>
      </w:r>
    </w:p>
    <w:p>
      <w:pPr>
        <w:pStyle w:val="FirstParagraph"/>
      </w:pPr>
      <w:r>
        <w:t xml:space="preserve">The analysis reveals the following major emission hotspots for</w:t>
      </w:r>
      <w:r>
        <w:t xml:space="preserve"> </w:t>
      </w:r>
      <w:r>
        <w:rPr>
          <w:bCs/>
          <w:b/>
        </w:rPr>
        <w:t xml:space="preserve">kqntopwfou</w:t>
      </w:r>
      <w:r>
        <w:t xml:space="preserve">:</w:t>
      </w:r>
    </w:p>
    <w:p>
      <w:pPr>
        <w:numPr>
          <w:ilvl w:val="0"/>
          <w:numId w:val="1016"/>
        </w:numPr>
        <w:pStyle w:val="Compact"/>
      </w:pPr>
      <w:r>
        <w:rPr>
          <w:bCs/>
          <w:b/>
        </w:rPr>
        <w:t xml:space="preserve">Use Phase (32.50 kg CO2e/unit):</w:t>
      </w:r>
      <w:r>
        <w:t xml:space="preserve"> </w:t>
      </w:r>
      <w:r>
        <w:t xml:space="preserve">This is by far the largest contributor, accounting for approximately 68% of the total PCF. The energy consumption during the product\'s 5-year lifespan is the dominant factor, primarily due to grid electricity emissions.</w:t>
      </w:r>
    </w:p>
    <w:p>
      <w:pPr>
        <w:numPr>
          <w:ilvl w:val="0"/>
          <w:numId w:val="1016"/>
        </w:numPr>
        <w:pStyle w:val="Compact"/>
      </w:pPr>
      <w:r>
        <w:rPr>
          <w:bCs/>
          <w:b/>
        </w:rPr>
        <w:t xml:space="preserve">Manufacturing (8.125 kg CO2e/unit):</w:t>
      </w:r>
      <w:r>
        <w:t xml:space="preserve"> </w:t>
      </w:r>
      <w:r>
        <w:t xml:space="preserve">Despite 75% renewable energy usage, the remaining non-renewable electricity still contributes significantly, representing about 17% of the total.</w:t>
      </w:r>
    </w:p>
    <w:p>
      <w:pPr>
        <w:numPr>
          <w:ilvl w:val="0"/>
          <w:numId w:val="1016"/>
        </w:numPr>
        <w:pStyle w:val="Compact"/>
      </w:pPr>
      <w:r>
        <w:rPr>
          <w:bCs/>
          <w:b/>
        </w:rPr>
        <w:t xml:space="preserve">Raw Material Acquisition (4.60 kg CO2e/unit):</w:t>
      </w:r>
      <w:r>
        <w:t xml:space="preserve"> </w:t>
      </w:r>
      <w:r>
        <w:t xml:space="preserve">The embodied emissions in materials like plastics, electronics, and metals are substantial, making up about 10% of the total footprint.</w:t>
      </w:r>
    </w:p>
    <w:p>
      <w:pPr>
        <w:numPr>
          <w:ilvl w:val="0"/>
          <w:numId w:val="1016"/>
        </w:numPr>
        <w:pStyle w:val="Compact"/>
      </w:pPr>
      <w:r>
        <w:rPr>
          <w:bCs/>
          <w:b/>
        </w:rPr>
        <w:t xml:space="preserve">Last-Mile Delivery (2.50 kg CO2e/unit):</w:t>
      </w:r>
      <w:r>
        <w:t xml:space="preserve"> </w:t>
      </w:r>
      <w:r>
        <w:t xml:space="preserve">While smaller than use phase and manufacturing, this component of transportation is more impactful per km than primary transport, indicating potential for optimization in delivery networks.</w:t>
      </w:r>
    </w:p>
    <w:bookmarkEnd w:id="45"/>
    <w:bookmarkStart w:id="46" w:name="reliability-assessment"/>
    <w:p>
      <w:pPr>
        <w:pStyle w:val="Heading3"/>
      </w:pPr>
      <w:r>
        <w:t xml:space="preserve">Reliability Assessment</w:t>
      </w:r>
    </w:p>
    <w:p>
      <w:pPr>
        <w:pStyle w:val="FirstParagraph"/>
      </w:pPr>
      <w:r>
        <w:t xml:space="preserve">The reliability of this PCF analysis is considered high for material impacts due to the use of a detailed Bill of Materials (lkshfolt) with specific emission factors. However, the overall accuracy is influenced by the quality of secondary data used for emission factors (e.g., Ecoinvent/DEFRA industry averages) and the assumptions made for parameters like transport distances, last-mile delivery specifics, and use phase electricity mix. The 95% Scope 3 coverage target provides a robust view of the value chain.</w:t>
      </w:r>
    </w:p>
    <w:bookmarkEnd w:id="46"/>
    <w:bookmarkStart w:id="47" w:name="key-insights-and-recommendations"/>
    <w:p>
      <w:pPr>
        <w:pStyle w:val="Heading3"/>
      </w:pPr>
      <w:r>
        <w:t xml:space="preserve">Key Insights and Recommendations</w:t>
      </w:r>
    </w:p>
    <w:p>
      <w:pPr>
        <w:numPr>
          <w:ilvl w:val="0"/>
          <w:numId w:val="1017"/>
        </w:numPr>
        <w:pStyle w:val="Compact"/>
      </w:pPr>
      <w:r>
        <w:rPr>
          <w:bCs/>
          <w:b/>
        </w:rPr>
        <w:t xml:space="preserve">Focus on Use Phase Efficiency:</w:t>
      </w:r>
      <w:r>
        <w:t xml:space="preserve"> </w:t>
      </w:r>
      <w:r>
        <w:t xml:space="preserve">Given its dominance, significant reductions can be achieved by improving the energy efficiency of kqntopwfou during its operational life. This could involve design changes for lower power consumption, or providing users with renewable energy sourcing options.</w:t>
      </w:r>
    </w:p>
    <w:p>
      <w:pPr>
        <w:numPr>
          <w:ilvl w:val="0"/>
          <w:numId w:val="1017"/>
        </w:numPr>
        <w:pStyle w:val="Compact"/>
      </w:pPr>
      <w:r>
        <w:rPr>
          <w:bCs/>
          <w:b/>
        </w:rPr>
        <w:t xml:space="preserve">Enhance Renewable Energy Sourcing:</w:t>
      </w:r>
      <w:r>
        <w:t xml:space="preserve"> </w:t>
      </w:r>
      <w:r>
        <w:t xml:space="preserve">While 75% renewable energy is commendable, exploring options to achieve 100% renewable energy in manufacturing (Scope 2) would eliminate a significant portion of remaining production emissions.</w:t>
      </w:r>
    </w:p>
    <w:p>
      <w:pPr>
        <w:numPr>
          <w:ilvl w:val="0"/>
          <w:numId w:val="1017"/>
        </w:numPr>
        <w:pStyle w:val="Compact"/>
      </w:pPr>
      <w:r>
        <w:rPr>
          <w:bCs/>
          <w:b/>
        </w:rPr>
        <w:t xml:space="preserve">Material Optimization:</w:t>
      </w:r>
      <w:r>
        <w:t xml:space="preserve"> </w:t>
      </w:r>
      <w:r>
        <w:t xml:space="preserve">Investigate opportunities for lighter-weight materials, recycled content, or materials with lower embodied carbon, particularly for the main casing and electronic components.</w:t>
      </w:r>
    </w:p>
    <w:p>
      <w:pPr>
        <w:numPr>
          <w:ilvl w:val="0"/>
          <w:numId w:val="1017"/>
        </w:numPr>
        <w:pStyle w:val="Compact"/>
      </w:pPr>
      <w:r>
        <w:rPr>
          <w:bCs/>
          <w:b/>
        </w:rPr>
        <w:t xml:space="preserve">Logistics Optimization:</w:t>
      </w:r>
      <w:r>
        <w:t xml:space="preserve"> </w:t>
      </w:r>
      <w:r>
        <w:t xml:space="preserve">Review and optimize transport routes and modes for both inbound components and outbound finished products. Exploring greener last-mile delivery solutions could also yield benefits.</w:t>
      </w:r>
    </w:p>
    <w:p>
      <w:pPr>
        <w:numPr>
          <w:ilvl w:val="0"/>
          <w:numId w:val="1017"/>
        </w:numPr>
        <w:pStyle w:val="Compact"/>
      </w:pPr>
      <w:r>
        <w:rPr>
          <w:bCs/>
          <w:b/>
        </w:rPr>
        <w:t xml:space="preserve">Leverage Circularity:</w:t>
      </w:r>
      <w:r>
        <w:t xml:space="preserve"> </w:t>
      </w:r>
      <w:r>
        <w:t xml:space="preserve">The existing product take-back and refurbishment program is a strong asset. Further promote and expand this program to maximize material utility and minimize virgin resource extraction, translating into more significant carbon reductions and potentially avoided emissions credits.</w:t>
      </w:r>
    </w:p>
    <w:p>
      <w:pPr>
        <w:numPr>
          <w:ilvl w:val="0"/>
          <w:numId w:val="1017"/>
        </w:numPr>
        <w:pStyle w:val="Compact"/>
      </w:pPr>
      <w:r>
        <w:rPr>
          <w:bCs/>
          <w:b/>
        </w:rPr>
        <w:t xml:space="preserve">Data Refinement:</w:t>
      </w:r>
      <w:r>
        <w:t xml:space="preserve"> </w:t>
      </w:r>
      <w:r>
        <w:t xml:space="preserve">Continuously improve the granularity of primary data collection, especially for upstream supply chain processes and specific energy mixes used by component suppliers, to further enhance the accuracy of future PCF analyses.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kqntopwfou</dc:title>
  <dc:creator/>
  <dc:description>Detailed Product Carbon Footprint (PCF) analysis report for kqntopwfou, conducted by mgudmtmnth, Senior Sustainability Consultant for soijymezny, adhering to GHG Protocol standards and 2026 LSR Update.</dc:description>
  <dc:language>en</dc:language>
  <cp:keywords/>
  <dcterms:created xsi:type="dcterms:W3CDTF">2026-05-30T14:51:46Z</dcterms:created>
  <dcterms:modified xsi:type="dcterms:W3CDTF">2026-05-30T14:51:46Z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