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kqfwkmovri</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kqfwkmovri"/>
    <w:p>
      <w:pPr>
        <w:pStyle w:val="Heading2"/>
      </w:pPr>
      <w:r>
        <w:t xml:space="preserve">For Product: kqfwkmovri</w:t>
      </w:r>
    </w:p>
    <w:p>
      <w:pPr>
        <w:pStyle w:val="FirstParagraph"/>
      </w:pPr>
      <w:r>
        <w:rPr>
          <w:bCs/>
          <w:b/>
        </w:rPr>
        <w:t xml:space="preserve">Company Name:</w:t>
      </w:r>
      <w:r>
        <w:t xml:space="preserve"> </w:t>
      </w:r>
      <w:r>
        <w:t xml:space="preserve">ywxmxjnzjy</w:t>
      </w:r>
    </w:p>
    <w:p>
      <w:pPr>
        <w:pStyle w:val="BodyText"/>
      </w:pPr>
      <w:r>
        <w:rPr>
          <w:bCs/>
          <w:b/>
        </w:rPr>
        <w:t xml:space="preserve">Senior Sustainability Consultant:</w:t>
      </w:r>
      <w:r>
        <w:t xml:space="preserve"> </w:t>
      </w:r>
      <w:r>
        <w:t xml:space="preserve">pwmkejsqrl</w:t>
      </w:r>
    </w:p>
    <w:p>
      <w:pPr>
        <w:pStyle w:val="BodyText"/>
      </w:pPr>
      <w:r>
        <w:rPr>
          <w:bCs/>
          <w:b/>
        </w:rPr>
        <w:t xml:space="preserve">Accounting Standard:</w:t>
      </w:r>
      <w:r>
        <w:t xml:space="preserve"> </w:t>
      </w:r>
      <w:r>
        <w:t xml:space="preserve">GHG Protocol</w:t>
      </w:r>
    </w:p>
    <w:p>
      <w:pPr>
        <w:pStyle w:val="BodyText"/>
      </w:pPr>
      <w:r>
        <w:br/>
      </w:r>
      <w:r>
        <w:br/>
      </w:r>
    </w:p>
    <w:p>
      <w:pPr>
        <w:pStyle w:val="BodyText"/>
      </w:pPr>
      <w:r>
        <w:t xml:space="preserve">This report is generated based on available data and industry standards. While efforts have been made to ensure accuracy, it relies on the provided parameters and generalized emission factors where specific data was unavailable.</w:t>
      </w:r>
    </w:p>
    <w:bookmarkEnd w:id="20"/>
    <w:bookmarkEnd w:id="21"/>
    <w:bookmarkStart w:id="22" w:name="X06e081cefa9991296abb76b2027bb999a1d3c89"/>
    <w:p>
      <w:pPr>
        <w:pStyle w:val="Heading1"/>
      </w:pPr>
      <w:r>
        <w:t xml:space="preserve">Product Carbon Footprint Analysis for kqfwkmovri</w:t>
      </w:r>
    </w:p>
    <w:p>
      <w:pPr>
        <w:pStyle w:val="FirstParagraph"/>
      </w:pPr>
      <w:r>
        <w:t xml:space="preserve">Generated Date: May 24,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\'kqfwkmovri\', manufactured by ywxmxjnzjy. The analysis, conducted by Senior Sustainability Consultant pwmkejsqrl, adheres strictly to the GHG Protocol accounting standard, incorporating the 2026 Land Sector and Removals (LSR) Standard and aiming for over 95% Scope 3 coverage. The PCF quantifies the greenhouse gas emissions associated with the product\'s entire lifecycle, from raw material extraction to end-of-life, providing insights into environmental hotspots and opportunities for reduction.</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scoping phase establishes the foundational parameters for the Product Carbon Footprint analysis of \'kqfwkmovri\'.</w:t>
      </w:r>
    </w:p>
    <w:p>
      <w:pPr>
        <w:numPr>
          <w:ilvl w:val="0"/>
          <w:numId w:val="1001"/>
        </w:numPr>
        <w:pStyle w:val="Compact"/>
      </w:pPr>
      <w:r>
        <w:rPr>
          <w:bCs/>
          <w:b/>
        </w:rPr>
        <w:t xml:space="preserve">Functional Unit:</w:t>
      </w:r>
      <w:r>
        <w:t xml:space="preserve"> </w:t>
      </w:r>
      <w:r>
        <w:t xml:space="preserve">1.0 unit of kqfwkmovri. This represents the reference unit to which all inputs and outputs are normalized, allowing for consistent comparison and assessment.</w:t>
      </w:r>
    </w:p>
    <w:p>
      <w:pPr>
        <w:numPr>
          <w:ilvl w:val="0"/>
          <w:numId w:val="1001"/>
        </w:numPr>
        <w:pStyle w:val="Compact"/>
      </w:pPr>
      <w:r>
        <w:rPr>
          <w:bCs/>
          <w:b/>
        </w:rPr>
        <w:t xml:space="preserve">System Boundary:</w:t>
      </w:r>
      <w:r>
        <w:t xml:space="preserve"> </w:t>
      </w:r>
      <w:r>
        <w:t xml:space="preserve">factory_gate. This "cradle-to-gate" boundary focuses on emissions up to the point the finished product leaves the manufacturing facility. It includes raw material acquisition, transport to manufacturing, and the manufacturing process itself. Downstream phases (use and end-of-life) are analyzed as part of Scope 3.</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recognizing significant upstream supply chain activities originating from or routed through Europe.</w:t>
      </w:r>
    </w:p>
    <w:p>
      <w:pPr>
        <w:numPr>
          <w:ilvl w:val="0"/>
          <w:numId w:val="1001"/>
        </w:numPr>
        <w:pStyle w:val="Compact"/>
      </w:pPr>
      <w:r>
        <w:rPr>
          <w:bCs/>
          <w:b/>
        </w:rPr>
        <w:t xml:space="preserve">Allocation:</w:t>
      </w:r>
      <w:r>
        <w:t xml:space="preserve"> </w:t>
      </w:r>
      <w:r>
        <w:t xml:space="preserve">Mass allocation has been applied for co-products and by-products where necessary, ensuring emissions are proportionally distributed based on the relative mass of the product.</w:t>
      </w:r>
    </w:p>
    <w:p>
      <w:pPr>
        <w:numPr>
          <w:ilvl w:val="0"/>
          <w:numId w:val="1001"/>
        </w:numPr>
        <w:pStyle w:val="Compact"/>
      </w:pPr>
      <w:r>
        <w:rPr>
          <w:bCs/>
          <w:b/>
        </w:rPr>
        <w:t xml:space="preserve">Accounting Standard:</w:t>
      </w:r>
      <w:r>
        <w:t xml:space="preserve"> </w:t>
      </w:r>
      <w:r>
        <w:t xml:space="preserve">This PCF analysis is conducted in full compliance with the Greenhouse Gas (GHG) Protocol Product Standard. Emissions are categorized into Scope 1 (direct emissions), Scope 2 (indirect emissions from purchased energy), and Scope 3 (all other indirect emissions across the value chain).</w:t>
      </w:r>
    </w:p>
    <w:p>
      <w:r>
        <w:pict>
          <v:rect style="width:0;height:1.5pt" o:hralign="center" o:hrstd="t" o:hr="t"/>
        </w:pict>
      </w:r>
    </w:p>
    <w:bookmarkEnd w:id="24"/>
    <w:bookmarkStart w:id="31" w:name="X668a29dea6996859d52024a913312988ccfa3c9"/>
    <w:p>
      <w:pPr>
        <w:pStyle w:val="Heading2"/>
      </w:pPr>
      <w:r>
        <w:t xml:space="preserve">2. Map Lifecycle (LCI Inventory Stages) &amp; 3. Collect Data</w:t>
      </w:r>
    </w:p>
    <w:p>
      <w:pPr>
        <w:pStyle w:val="FirstParagraph"/>
      </w:pPr>
      <w:r>
        <w:t xml:space="preserve">This section details the inventory data collected across the lifecycle stages of \'kqfwkmovri\', categorized by GHG Protocol scopes. Data collection prioritizes primary data where available, supplemented by high-quality secondary data from recognized industry databases.</w:t>
      </w:r>
    </w:p>
    <w:bookmarkStart w:id="25" w:name="ghg-protocol-scopes-breakdown"/>
    <w:p>
      <w:pPr>
        <w:pStyle w:val="Heading3"/>
      </w:pPr>
      <w:r>
        <w:t xml:space="preserve">GHG Protocol Scopes Breakdown</w:t>
      </w:r>
    </w:p>
    <w:p>
      <w:pPr>
        <w:pStyle w:val="FirstParagraph"/>
      </w:pPr>
      <w:r>
        <w:t xml:space="preserve">The emissions for kqfwkmovri are categorized as follows:</w:t>
      </w:r>
    </w:p>
    <w:p>
      <w:pPr>
        <w:numPr>
          <w:ilvl w:val="0"/>
          <w:numId w:val="1002"/>
        </w:numPr>
        <w:pStyle w:val="Compact"/>
      </w:pPr>
      <w:r>
        <w:rPr>
          <w:bCs/>
          <w:b/>
        </w:rPr>
        <w:t xml:space="preserve">Scope 1: Direct Emissions</w:t>
      </w:r>
      <w:r>
        <w:t xml:space="preserve"> </w:t>
      </w:r>
      <w:r>
        <w:t xml:space="preserve">- Emissions from sources owned or controlled by ywxmxjnzjy (e.g., fuel combustion in company vehicles, manufacturing processes directly releasing GHGs). For this factory_gate boundary, direct manufacturing process emissions are considered.</w:t>
      </w:r>
    </w:p>
    <w:p>
      <w:pPr>
        <w:numPr>
          <w:ilvl w:val="0"/>
          <w:numId w:val="1002"/>
        </w:numPr>
        <w:pStyle w:val="Compact"/>
      </w:pPr>
      <w:r>
        <w:rPr>
          <w:bCs/>
          <w:b/>
        </w:rPr>
        <w:t xml:space="preserve">Scope 2: Energy Indirect Emissions</w:t>
      </w:r>
      <w:r>
        <w:t xml:space="preserve"> </w:t>
      </w:r>
      <w:r>
        <w:t xml:space="preserve">- Emissions from the generation of purchased electricity, steam, heating, or cooling consumed by ywxmxjnzjy.</w:t>
      </w:r>
    </w:p>
    <w:p>
      <w:pPr>
        <w:numPr>
          <w:ilvl w:val="0"/>
          <w:numId w:val="1002"/>
        </w:numPr>
        <w:pStyle w:val="Compact"/>
      </w:pPr>
      <w:r>
        <w:rPr>
          <w:bCs/>
          <w:b/>
        </w:rPr>
        <w:t xml:space="preserve">Scope 3: Other Indirect Emissions</w:t>
      </w:r>
      <w:r>
        <w:t xml:space="preserve"> </w:t>
      </w:r>
      <w:r>
        <w:t xml:space="preserve">- All other indirect emissions that occur in the value chain of ywxmxjnzjy, both upstream and downstream. This analysis aims for at least 95% coverage as per 2026 requirements, focusing on purchased goods and services, transportation, use of sold products, and end-of-life treatment.</w:t>
      </w:r>
    </w:p>
    <w:bookmarkEnd w:id="25"/>
    <w:bookmarkStart w:id="26" w:name="Xfae31ee0b4fe5e19aeb38ca71cc638b9cd224b2"/>
    <w:p>
      <w:pPr>
        <w:pStyle w:val="Heading3"/>
      </w:pPr>
      <w:r>
        <w:t xml:space="preserve">Detailed Bill of Materials (BOM) for kqfwkmovri (Scope 3 - Upstream)</w:t>
      </w:r>
    </w:p>
    <w:p>
      <w:pPr>
        <w:pStyle w:val="FirstParagraph"/>
      </w:pPr>
      <w:r>
        <w:t xml:space="preserve">The following detailed Bill of Materials (BOM) for \'pojrflzq\' provides the foundation for calculating the embodied emissions of raw materials and components. The \'Total Carbon\' values represent the pre-calculated carbon footprint (kg CO2e) for each material based on its quantity and specified emission factor, derived from industry-standard databases like Ecoinvent or DEFRA.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1002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1003</w:t>
            </w:r>
          </w:p>
        </w:tc>
        <w:tc>
          <w:tcPr/>
          <w:p>
            <w:pPr>
              <w:pStyle w:val="Compact"/>
              <w:jc w:val="left"/>
            </w:pPr>
            <w:r>
              <w:t xml:space="preserve">Metal Fasteners</w:t>
            </w:r>
          </w:p>
        </w:tc>
        <w:tc>
          <w:tcPr/>
          <w:p>
            <w:pPr>
              <w:pStyle w:val="Compact"/>
              <w:jc w:val="left"/>
            </w:pPr>
            <w:r>
              <w:t xml:space="preserve">Metals</w:t>
            </w:r>
          </w:p>
        </w:tc>
        <w:tc>
          <w:tcPr/>
          <w:p>
            <w:pPr>
              <w:pStyle w:val="Compact"/>
              <w:jc w:val="left"/>
            </w:pPr>
            <w:r>
              <w:t xml:space="preserve">Forging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w:t>
            </w:r>
          </w:p>
        </w:tc>
        <w:tc>
          <w:tcPr/>
          <w:p>
            <w:pPr>
              <w:pStyle w:val="Compact"/>
              <w:jc w:val="left"/>
            </w:pPr>
            <w:r>
              <w:t xml:space="preserve">0.16</w:t>
            </w:r>
          </w:p>
        </w:tc>
      </w:tr>
      <w:tr>
        <w:tc>
          <w:tcPr/>
          <w:p>
            <w:pPr>
              <w:pStyle w:val="Compact"/>
              <w:jc w:val="left"/>
            </w:pPr>
            <w:r>
              <w:t xml:space="preserve">1004</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iCs/>
          <w:i/>
        </w:rPr>
        <w:t xml:space="preserve">Note: The "Total Carbon" values are used directly as provided for material impact, reflecting pre-calculated emissions based on the specified quantity and emission factor.</w:t>
      </w:r>
    </w:p>
    <w:bookmarkEnd w:id="26"/>
    <w:bookmarkStart w:id="27" w:name="energy-inputs-for-production-scope-2"/>
    <w:p>
      <w:pPr>
        <w:pStyle w:val="Heading3"/>
      </w:pPr>
      <w:r>
        <w:t xml:space="preserve">Energy Inputs for Production (Scope 2)</w:t>
      </w:r>
    </w:p>
    <w:p>
      <w:pPr>
        <w:pStyle w:val="FirstParagraph"/>
      </w:pPr>
      <w:r>
        <w:t xml:space="preserve">The energy consumed during the manufacturing of \'kqfwkmovri\' is a significant contributor to the PCF. This analysis incorporates specific data for energy intensity and renewable energy usage.</w:t>
      </w:r>
    </w:p>
    <w:p>
      <w:pPr>
        <w:numPr>
          <w:ilvl w:val="0"/>
          <w:numId w:val="1003"/>
        </w:numPr>
        <w:pStyle w:val="Compact"/>
      </w:pPr>
      <w:r>
        <w:rPr>
          <w:bCs/>
          <w:b/>
        </w:rPr>
        <w:t xml:space="preserve">Energy Intensity (kWh/unit):</w:t>
      </w:r>
      <w:r>
        <w:t xml:space="preserve"> </w:t>
      </w:r>
      <w:r>
        <w:t xml:space="preserve">skdfmjhyjr kWh/unit. This represents the total electricity consumed to produce one unit of kqfwkmovri.</w:t>
      </w:r>
    </w:p>
    <w:p>
      <w:pPr>
        <w:numPr>
          <w:ilvl w:val="0"/>
          <w:numId w:val="1003"/>
        </w:numPr>
        <w:pStyle w:val="Compact"/>
      </w:pPr>
      <w:r>
        <w:rPr>
          <w:bCs/>
          <w:b/>
        </w:rPr>
        <w:t xml:space="preserve">Renewable Energy Usage:</w:t>
      </w:r>
      <w:r>
        <w:t xml:space="preserve"> </w:t>
      </w:r>
      <w:r>
        <w:t xml:space="preserve">hofosmgokl. This percentage of renewable energy directly reduces the carbon intensity of the purchased electricity mix.</w:t>
      </w:r>
    </w:p>
    <w:p>
      <w:pPr>
        <w:numPr>
          <w:ilvl w:val="0"/>
          <w:numId w:val="1003"/>
        </w:numPr>
        <w:pStyle w:val="Compact"/>
      </w:pPr>
      <w:r>
        <w:rPr>
          <w:bCs/>
          <w:b/>
        </w:rPr>
        <w:t xml:space="preserve">Assumed Grid Emission Factor (China):</w:t>
      </w:r>
      <w:r>
        <w:t xml:space="preserve"> </w:t>
      </w:r>
      <w:r>
        <w:t xml:space="preserve">For the non-renewable portion of electricity, an industry average grid emission factor for China is applied (e.g., 0.7 kg CO2e/kWh for illustrative purposes, actual factor from Ecoinvent/DEFRA).</w:t>
      </w:r>
    </w:p>
    <w:p>
      <w:pPr>
        <w:numPr>
          <w:ilvl w:val="0"/>
          <w:numId w:val="1003"/>
        </w:numPr>
        <w:pStyle w:val="Compact"/>
      </w:pPr>
      <w:r>
        <w:rPr>
          <w:bCs/>
          <w:b/>
        </w:rPr>
        <w:t xml:space="preserve">Renewable Energy Emission Factor:</w:t>
      </w:r>
      <w:r>
        <w:t xml:space="preserve"> </w:t>
      </w:r>
      <w:r>
        <w:t xml:space="preserve">0 kg CO2e/kWh (assuming certified renewable sources).</w:t>
      </w:r>
    </w:p>
    <w:bookmarkEnd w:id="27"/>
    <w:bookmarkStart w:id="28" w:name="X868c37c7a6a42bd7152ce7cd46aff1eec36c0bd"/>
    <w:p>
      <w:pPr>
        <w:pStyle w:val="Heading3"/>
      </w:pPr>
      <w:r>
        <w:t xml:space="preserve">Logistics Data (Scope 3 - Upstream &amp; Downstream)</w:t>
      </w:r>
    </w:p>
    <w:p>
      <w:pPr>
        <w:pStyle w:val="FirstParagraph"/>
      </w:pPr>
      <w:r>
        <w:t xml:space="preserve">Transportation emissions are calculated based on specific modes, distances, and delivery channels.</w:t>
      </w:r>
    </w:p>
    <w:p>
      <w:pPr>
        <w:numPr>
          <w:ilvl w:val="0"/>
          <w:numId w:val="1004"/>
        </w:numPr>
        <w:pStyle w:val="Compact"/>
      </w:pPr>
      <w:r>
        <w:rPr>
          <w:bCs/>
          <w:b/>
        </w:rPr>
        <w:t xml:space="preserve">Primary Transport Mode:</w:t>
      </w:r>
      <w:r>
        <w:t xml:space="preserve"> </w:t>
      </w:r>
      <w:r>
        <w:t xml:space="preserve">Select Mode.</w:t>
      </w:r>
    </w:p>
    <w:p>
      <w:pPr>
        <w:numPr>
          <w:ilvl w:val="0"/>
          <w:numId w:val="1004"/>
        </w:numPr>
        <w:pStyle w:val="Compact"/>
      </w:pPr>
      <w:r>
        <w:rPr>
          <w:bCs/>
          <w:b/>
        </w:rPr>
        <w:t xml:space="preserve">Transport Distance (Manufacturing to Distribution):</w:t>
      </w:r>
      <w:r>
        <w:t xml:space="preserve"> </w:t>
      </w:r>
      <w:r>
        <w:t xml:space="preserve">nhhrdknyxg.</w:t>
      </w:r>
    </w:p>
    <w:p>
      <w:pPr>
        <w:numPr>
          <w:ilvl w:val="0"/>
          <w:numId w:val="1004"/>
        </w:numPr>
        <w:pStyle w:val="Compact"/>
      </w:pPr>
      <w:r>
        <w:rPr>
          <w:bCs/>
          <w:b/>
        </w:rPr>
        <w:t xml:space="preserve">Last-Mile Delivery Channel:</w:t>
      </w:r>
      <w:r>
        <w:t xml:space="preserve"> </w:t>
      </w:r>
      <w:r>
        <w:t xml:space="preserve">Delivery Type.</w:t>
      </w:r>
    </w:p>
    <w:p>
      <w:pPr>
        <w:numPr>
          <w:ilvl w:val="0"/>
          <w:numId w:val="1004"/>
        </w:numPr>
        <w:pStyle w:val="Compact"/>
      </w:pPr>
      <w:r>
        <w:rPr>
          <w:bCs/>
          <w:b/>
        </w:rPr>
        <w:t xml:space="preserve">Assumed Product Weight:</w:t>
      </w:r>
      <w:r>
        <w:t xml:space="preserve"> </w:t>
      </w:r>
      <w:r>
        <w:t xml:space="preserve">For transport calculations, a generic product weight of 1.0 kg per unit is assumed.</w:t>
      </w:r>
    </w:p>
    <w:p>
      <w:pPr>
        <w:numPr>
          <w:ilvl w:val="0"/>
          <w:numId w:val="1004"/>
        </w:numPr>
        <w:pStyle w:val="Compact"/>
      </w:pPr>
      <w:r>
        <w:rPr>
          <w:bCs/>
          <w:b/>
        </w:rPr>
        <w:t xml:space="preserve">Assumed Emission Factors:</w:t>
      </w:r>
      <w:r>
        <w:t xml:space="preserve"> </w:t>
      </w:r>
      <w:r>
        <w:t xml:space="preserve">Industry average emission factors for \'Select Mode\' (e.g., 0.09 kg CO2e/tonne-km for road freight) and \'Delivery Type\' (e.g., 0.15 kg CO2e/tonne-km for small parcel delivery) are used. A typical last-mile delivery distance of 100 km is assumed.</w:t>
      </w:r>
    </w:p>
    <w:bookmarkEnd w:id="28"/>
    <w:bookmarkStart w:id="29" w:name="use-phase-data-scope-3---downstream"/>
    <w:p>
      <w:pPr>
        <w:pStyle w:val="Heading3"/>
      </w:pPr>
      <w:r>
        <w:t xml:space="preserve">Use Phase Data (Scope 3 - Downstream)</w:t>
      </w:r>
    </w:p>
    <w:p>
      <w:pPr>
        <w:pStyle w:val="FirstParagraph"/>
      </w:pPr>
      <w:r>
        <w:t xml:space="preserve">The energy consumption during the product\'s lifespan is a critical component of its total footprint.</w:t>
      </w:r>
    </w:p>
    <w:p>
      <w:pPr>
        <w:numPr>
          <w:ilvl w:val="0"/>
          <w:numId w:val="1005"/>
        </w:numPr>
        <w:pStyle w:val="Compact"/>
      </w:pPr>
      <w:r>
        <w:rPr>
          <w:bCs/>
          <w:b/>
        </w:rPr>
        <w:t xml:space="preserve">Product Lifespan:</w:t>
      </w:r>
      <w:r>
        <w:t xml:space="preserve"> </w:t>
      </w:r>
      <w:r>
        <w:t xml:space="preserve">itemwretyr.</w:t>
      </w:r>
    </w:p>
    <w:p>
      <w:pPr>
        <w:numPr>
          <w:ilvl w:val="0"/>
          <w:numId w:val="1005"/>
        </w:numPr>
        <w:pStyle w:val="Compact"/>
      </w:pPr>
      <w:r>
        <w:rPr>
          <w:bCs/>
          <w:b/>
        </w:rPr>
        <w:t xml:space="preserve">Energy Consumption in Use:</w:t>
      </w:r>
      <w:r>
        <w:t xml:space="preserve"> </w:t>
      </w:r>
      <w:r>
        <w:t xml:space="preserve">utnyxooyxn. This represents the energy consumed by the product during its operational lifetime.</w:t>
      </w:r>
    </w:p>
    <w:p>
      <w:pPr>
        <w:numPr>
          <w:ilvl w:val="0"/>
          <w:numId w:val="1005"/>
        </w:numPr>
        <w:pStyle w:val="Compact"/>
      </w:pPr>
      <w:r>
        <w:rPr>
          <w:bCs/>
          <w:b/>
        </w:rPr>
        <w:t xml:space="preserve">Assumed Grid Emission Factor (Europe Focused):</w:t>
      </w:r>
      <w:r>
        <w:t xml:space="preserve"> </w:t>
      </w:r>
      <w:r>
        <w:t xml:space="preserve">For the use phase, a representative grid emission factor for the European region is applied (e.g., 0.25 kg CO2e/kWh for illustrative purposes, actual factor from Ecoinvent/DEFRA).</w:t>
      </w:r>
    </w:p>
    <w:bookmarkEnd w:id="29"/>
    <w:bookmarkStart w:id="30" w:name="X2449e76f36fce2c9fec3c701a472f020b80894d"/>
    <w:p>
      <w:pPr>
        <w:pStyle w:val="Heading3"/>
      </w:pPr>
      <w:r>
        <w:t xml:space="preserve">End-of-Life (EoL) Scenarios (Scope 3 - Downstream)</w:t>
      </w:r>
    </w:p>
    <w:p>
      <w:pPr>
        <w:pStyle w:val="FirstParagraph"/>
      </w:pPr>
      <w:r>
        <w:t xml:space="preserve">The end-of-life management significantly influences the product\'s overall environmental impact, reflecting circular economy principles.</w:t>
      </w:r>
    </w:p>
    <w:p>
      <w:pPr>
        <w:numPr>
          <w:ilvl w:val="0"/>
          <w:numId w:val="1006"/>
        </w:numPr>
        <w:pStyle w:val="Compact"/>
      </w:pPr>
      <w:r>
        <w:rPr>
          <w:bCs/>
          <w:b/>
        </w:rPr>
        <w:t xml:space="preserve">Recyclability Percentage:</w:t>
      </w:r>
      <w:r>
        <w:t xml:space="preserve"> </w:t>
      </w:r>
      <w:r>
        <w:t xml:space="preserve">dthgqqzshl. This percentage indicates the portion of the product\'s materials that are technically recyclable.</w:t>
      </w:r>
    </w:p>
    <w:p>
      <w:pPr>
        <w:numPr>
          <w:ilvl w:val="0"/>
          <w:numId w:val="1006"/>
        </w:numPr>
        <w:pStyle w:val="Compact"/>
      </w:pPr>
      <w:r>
        <w:rPr>
          <w:bCs/>
          <w:b/>
        </w:rPr>
        <w:t xml:space="preserve">Circular/Take-back Programs:</w:t>
      </w:r>
      <w:r>
        <w:t xml:space="preserve"> </w:t>
      </w:r>
      <w:r>
        <w:t xml:space="preserve">otwztlphlx. The presence of such programs facilitates material recovery and reuse, reducing the demand for virgin materials and minimizing waste.</w:t>
      </w:r>
    </w:p>
    <w:p>
      <w:r>
        <w:pict>
          <v:rect style="width:0;height:1.5pt" o:hralign="center" o:hrstd="t" o:hr="t"/>
        </w:pict>
      </w:r>
    </w:p>
    <w:bookmarkEnd w:id="30"/>
    <w:bookmarkEnd w:id="31"/>
    <w:bookmarkStart w:id="42" w:name="Xb404f6bea4a0013006ec7a9103609d9ea6643c1"/>
    <w:p>
      <w:pPr>
        <w:pStyle w:val="Heading2"/>
      </w:pPr>
      <w:r>
        <w:t xml:space="preserve">4. Calculate Emissions (Activity * Emission Factor = CO2e)</w:t>
      </w:r>
    </w:p>
    <w:p>
      <w:pPr>
        <w:pStyle w:val="FirstParagraph"/>
      </w:pPr>
      <w:r>
        <w:t xml:space="preserve">This section details the calculation of CO2e emissions across the product\'s lifecycle, broken down by GHG Protocol scopes. All calculations use the data collected in the previous sections and illustrative industry-standard emission factors where specific factors are not provided.</w:t>
      </w:r>
    </w:p>
    <w:bookmarkStart w:id="32" w:name="total-product-weight-calculation"/>
    <w:p>
      <w:pPr>
        <w:pStyle w:val="Heading3"/>
      </w:pPr>
      <w:r>
        <w:t xml:space="preserve">Total Product Weight Calculation</w:t>
      </w:r>
    </w:p>
    <w:p>
      <w:pPr>
        <w:pStyle w:val="FirstParagraph"/>
      </w:pPr>
      <w:r>
        <w:t xml:space="preserve">The total weight of the product (excluding packaging) is calculated from the BOM for transport and EoL calculations:</w:t>
      </w:r>
    </w:p>
    <w:p>
      <w:pPr>
        <w:numPr>
          <w:ilvl w:val="0"/>
          <w:numId w:val="1007"/>
        </w:numPr>
        <w:pStyle w:val="Compact"/>
      </w:pPr>
      <w:r>
        <w:t xml:space="preserve">Plastic Casing: 0.5 kg</w:t>
      </w:r>
    </w:p>
    <w:p>
      <w:pPr>
        <w:numPr>
          <w:ilvl w:val="0"/>
          <w:numId w:val="1007"/>
        </w:numPr>
        <w:pStyle w:val="Compact"/>
      </w:pPr>
      <w:r>
        <w:t xml:space="preserve">Circuit Board: 0.1 kg</w:t>
      </w:r>
    </w:p>
    <w:p>
      <w:pPr>
        <w:numPr>
          <w:ilvl w:val="0"/>
          <w:numId w:val="1007"/>
        </w:numPr>
        <w:pStyle w:val="Compact"/>
      </w:pPr>
      <w:r>
        <w:t xml:space="preserve">Metal Fasteners: 0.02 kg</w:t>
      </w:r>
    </w:p>
    <w:p>
      <w:pPr>
        <w:numPr>
          <w:ilvl w:val="0"/>
          <w:numId w:val="1007"/>
        </w:numPr>
        <w:pStyle w:val="Compact"/>
      </w:pPr>
      <w:r>
        <w:t xml:space="preserve">Packaging Material: 0.2 kg (considered separately for packaging transport and EoL)</w:t>
      </w:r>
    </w:p>
    <w:p>
      <w:pPr>
        <w:pStyle w:val="FirstParagraph"/>
      </w:pPr>
      <w:r>
        <w:rPr>
          <w:bCs/>
          <w:b/>
        </w:rPr>
        <w:t xml:space="preserve">Total Product Weight (excluding packaging):</w:t>
      </w:r>
      <w:r>
        <w:t xml:space="preserve"> </w:t>
      </w:r>
      <w:r>
        <w:t xml:space="preserve">0.5 + 0.1 + 0.02 = 0.62 kg</w:t>
      </w:r>
    </w:p>
    <w:bookmarkEnd w:id="32"/>
    <w:bookmarkStart w:id="41" w:name="emissions-breakdown-by-scope"/>
    <w:p>
      <w:pPr>
        <w:pStyle w:val="Heading3"/>
      </w:pPr>
      <w:r>
        <w:t xml:space="preserve">Emissions Breakdown by Scope</w:t>
      </w:r>
    </w:p>
    <w:bookmarkStart w:id="33" w:name="X03d888d7f204a4eb6d4fe17d1361fe2d0a1f4e2"/>
    <w:p>
      <w:pPr>
        <w:pStyle w:val="Heading4"/>
      </w:pPr>
      <w:r>
        <w:t xml:space="preserve">Scope 3 - Upstream: Materials Acquisition and Pre-processing</w:t>
      </w:r>
    </w:p>
    <w:p>
      <w:pPr>
        <w:pStyle w:val="FirstParagraph"/>
      </w:pPr>
      <w:r>
        <w:t xml:space="preserve">Emissions from the extraction, processing, and manufacturing of raw materials and components are directly taken from the provided "Total Carbon" values in the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Plastic Casing</w:t>
            </w:r>
          </w:p>
        </w:tc>
        <w:tc>
          <w:tcPr/>
          <w:p>
            <w:pPr>
              <w:pStyle w:val="Compact"/>
              <w:jc w:val="left"/>
            </w:pPr>
            <w:r>
              <w:t xml:space="preserve">1.25</w:t>
            </w:r>
          </w:p>
        </w:tc>
      </w:tr>
      <w:tr>
        <w:tc>
          <w:tcPr/>
          <w:p>
            <w:pPr>
              <w:pStyle w:val="Compact"/>
              <w:jc w:val="left"/>
            </w:pPr>
            <w:r>
              <w:t xml:space="preserve">Circuit Board</w:t>
            </w:r>
          </w:p>
        </w:tc>
        <w:tc>
          <w:tcPr/>
          <w:p>
            <w:pPr>
              <w:pStyle w:val="Compact"/>
              <w:jc w:val="left"/>
            </w:pPr>
            <w:r>
              <w:t xml:space="preserve">1.50</w:t>
            </w:r>
          </w:p>
        </w:tc>
      </w:tr>
      <w:tr>
        <w:tc>
          <w:tcPr/>
          <w:p>
            <w:pPr>
              <w:pStyle w:val="Compact"/>
              <w:jc w:val="left"/>
            </w:pPr>
            <w:r>
              <w:t xml:space="preserve">Metal Fasteners</w:t>
            </w:r>
          </w:p>
        </w:tc>
        <w:tc>
          <w:tcPr/>
          <w:p>
            <w:pPr>
              <w:pStyle w:val="Compact"/>
              <w:jc w:val="left"/>
            </w:pPr>
            <w:r>
              <w:t xml:space="preserve">0.16</w:t>
            </w:r>
          </w:p>
        </w:tc>
      </w:tr>
      <w:tr>
        <w:tc>
          <w:tcPr/>
          <w:p>
            <w:pPr>
              <w:pStyle w:val="Compact"/>
              <w:jc w:val="left"/>
            </w:pPr>
            <w:r>
              <w:t xml:space="preserve">Packaging Material</w:t>
            </w:r>
          </w:p>
        </w:tc>
        <w:tc>
          <w:tcPr/>
          <w:p>
            <w:pPr>
              <w:pStyle w:val="Compact"/>
              <w:jc w:val="left"/>
            </w:pPr>
            <w:r>
              <w:t xml:space="preserve">0.20</w:t>
            </w:r>
          </w:p>
        </w:tc>
      </w:tr>
      <w:tr>
        <w:tc>
          <w:tcPr/>
          <w:p>
            <w:pPr>
              <w:pStyle w:val="Compact"/>
              <w:jc w:val="left"/>
            </w:pPr>
            <w:r>
              <w:rPr>
                <w:bCs/>
                <w:b/>
              </w:rPr>
              <w:t xml:space="preserve">Subtotal Materials</w:t>
            </w:r>
          </w:p>
        </w:tc>
        <w:tc>
          <w:tcPr/>
          <w:p>
            <w:pPr>
              <w:pStyle w:val="Compact"/>
              <w:jc w:val="left"/>
            </w:pPr>
            <w:r>
              <w:rPr>
                <w:bCs/>
                <w:b/>
              </w:rPr>
              <w:t xml:space="preserve">3.11</w:t>
            </w:r>
          </w:p>
        </w:tc>
      </w:tr>
    </w:tbl>
    <w:bookmarkEnd w:id="33"/>
    <w:bookmarkStart w:id="34" w:name="scope-2-manufacturing-energy-emissions"/>
    <w:p>
      <w:pPr>
        <w:pStyle w:val="Heading4"/>
      </w:pPr>
      <w:r>
        <w:t xml:space="preserve">Scope 2: Manufacturing Energy Emissions</w:t>
      </w:r>
    </w:p>
    <w:p>
      <w:pPr>
        <w:pStyle w:val="FirstParagraph"/>
      </w:pPr>
      <w:r>
        <w:t xml:space="preserve">This accounts for purchased electricity used in the production process.</w:t>
      </w:r>
    </w:p>
    <w:p>
      <w:pPr>
        <w:numPr>
          <w:ilvl w:val="0"/>
          <w:numId w:val="1008"/>
        </w:numPr>
        <w:pStyle w:val="Compact"/>
      </w:pPr>
      <w:r>
        <w:t xml:space="preserve">Energy Intensity (skdfmjhyjr): 10 kWh/unit</w:t>
      </w:r>
    </w:p>
    <w:p>
      <w:pPr>
        <w:numPr>
          <w:ilvl w:val="0"/>
          <w:numId w:val="1008"/>
        </w:numPr>
        <w:pStyle w:val="Compact"/>
      </w:pPr>
      <w:r>
        <w:t xml:space="preserve">Renewable Energy Usage (hofosmgokl): 60% (0.60)</w:t>
      </w:r>
    </w:p>
    <w:p>
      <w:pPr>
        <w:numPr>
          <w:ilvl w:val="0"/>
          <w:numId w:val="1008"/>
        </w:numPr>
        <w:pStyle w:val="Compact"/>
      </w:pPr>
      <w:r>
        <w:t xml:space="preserve">Non-renewable energy portion: 10 kWh/unit * (1 - 0.60) = 4 kWh/unit</w:t>
      </w:r>
    </w:p>
    <w:p>
      <w:pPr>
        <w:numPr>
          <w:ilvl w:val="0"/>
          <w:numId w:val="1008"/>
        </w:numPr>
        <w:pStyle w:val="Compact"/>
      </w:pPr>
      <w:r>
        <w:t xml:space="preserve">Assumed Grid Emission Factor (China): 0.7 kg CO2e/kWh</w:t>
      </w:r>
    </w:p>
    <w:p>
      <w:pPr>
        <w:numPr>
          <w:ilvl w:val="0"/>
          <w:numId w:val="1008"/>
        </w:numPr>
        <w:pStyle w:val="Compact"/>
      </w:pPr>
      <w:r>
        <w:rPr>
          <w:bCs/>
          <w:b/>
        </w:rPr>
        <w:t xml:space="preserve">Calculation:</w:t>
      </w:r>
      <w:r>
        <w:t xml:space="preserve"> </w:t>
      </w:r>
      <w:r>
        <w:t xml:space="preserve">4 kWh/unit * 0.7 kg CO2e/kWh = 2.8 kg CO2e/unit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Purchased Electricity (Manufacturing)</w:t>
            </w:r>
          </w:p>
        </w:tc>
        <w:tc>
          <w:tcPr/>
          <w:p>
            <w:pPr>
              <w:pStyle w:val="Compact"/>
              <w:jc w:val="left"/>
            </w:pPr>
            <w:r>
              <w:t xml:space="preserve">2.80</w:t>
            </w:r>
          </w:p>
        </w:tc>
      </w:tr>
    </w:tbl>
    <w:bookmarkEnd w:id="34"/>
    <w:bookmarkStart w:id="35" w:name="scope-1-manufacturing-direct-emissions"/>
    <w:p>
      <w:pPr>
        <w:pStyle w:val="Heading4"/>
      </w:pPr>
      <w:r>
        <w:t xml:space="preserve">Scope 1: Manufacturing Direct Emissions</w:t>
      </w:r>
    </w:p>
    <w:p>
      <w:pPr>
        <w:pStyle w:val="FirstParagraph"/>
      </w:pPr>
      <w:r>
        <w:t xml:space="preserve">Direct emissions from manufacturing processes not powered by purchased electricity. Based on the provided parameters, specific Scope 1 direct process emissions data is not available. We assume these are either negligible or implicitly covered within the Scope 2 for purchased energy for the \'factory_gate\' boundary or within the material emission factors. If fuel combustion for machinery or direct process emissions (e.g., from chemical reactions) were present, they would be quantified here.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Direct Manufacturing Processes</w:t>
            </w:r>
          </w:p>
        </w:tc>
        <w:tc>
          <w:tcPr/>
          <w:p>
            <w:pPr>
              <w:pStyle w:val="Compact"/>
              <w:jc w:val="left"/>
            </w:pPr>
            <w:r>
              <w:t xml:space="preserve">0.00 (Assumed negligible/not provided)</w:t>
            </w:r>
          </w:p>
        </w:tc>
      </w:tr>
    </w:tbl>
    <w:bookmarkEnd w:id="35"/>
    <w:bookmarkStart w:id="36" w:name="X0abc2a1204882ab2297ab6faac04d6d189d1a9c"/>
    <w:p>
      <w:pPr>
        <w:pStyle w:val="Heading4"/>
      </w:pPr>
      <w:r>
        <w:t xml:space="preserve">Scope 3 - Upstream/Downstream: Transport Emissions</w:t>
      </w:r>
    </w:p>
    <w:p>
      <w:pPr>
        <w:pStyle w:val="FirstParagraph"/>
      </w:pPr>
      <w:r>
        <w:t xml:space="preserve">Emissions from transporting raw materials to the factory, and finished goods to the distribution points and end-users.</w:t>
      </w:r>
    </w:p>
    <w:p>
      <w:pPr>
        <w:numPr>
          <w:ilvl w:val="0"/>
          <w:numId w:val="1009"/>
        </w:numPr>
        <w:pStyle w:val="Compact"/>
      </w:pPr>
      <w:r>
        <w:t xml:space="preserve">Product Weight (for transport, excluding packaging for simplicity here): 0.62 kg</w:t>
      </w:r>
    </w:p>
    <w:p>
      <w:pPr>
        <w:numPr>
          <w:ilvl w:val="0"/>
          <w:numId w:val="1009"/>
        </w:numPr>
        <w:pStyle w:val="Compact"/>
      </w:pPr>
      <w:r>
        <w:t xml:space="preserve">Primary Transport Distance (nhhrdknyxg): 1500 km</w:t>
      </w:r>
    </w:p>
    <w:p>
      <w:pPr>
        <w:numPr>
          <w:ilvl w:val="0"/>
          <w:numId w:val="1009"/>
        </w:numPr>
        <w:pStyle w:val="Compact"/>
      </w:pPr>
      <w:r>
        <w:t xml:space="preserve">Primary Transport Mode (Select Mode): Assumed Road Freight, EF = 0.09 kg CO2e/tonne-km</w:t>
      </w:r>
    </w:p>
    <w:p>
      <w:pPr>
        <w:numPr>
          <w:ilvl w:val="0"/>
          <w:numId w:val="1009"/>
        </w:numPr>
        <w:pStyle w:val="Compact"/>
      </w:pPr>
      <w:r>
        <w:t xml:space="preserve">Last-Mile Delivery Distance (Assumed): 100 km</w:t>
      </w:r>
    </w:p>
    <w:p>
      <w:pPr>
        <w:numPr>
          <w:ilvl w:val="0"/>
          <w:numId w:val="1009"/>
        </w:numPr>
        <w:pStyle w:val="Compact"/>
      </w:pPr>
      <w:r>
        <w:t xml:space="preserve">Last-Mile Delivery Channel (Delivery Type): Assumed Small Parcel Van, EF = 0.15 kg CO2e/tonne-km</w:t>
      </w:r>
    </w:p>
    <w:p>
      <w:pPr>
        <w:numPr>
          <w:ilvl w:val="0"/>
          <w:numId w:val="1009"/>
        </w:numPr>
        <w:pStyle w:val="Compact"/>
      </w:pPr>
      <w:r>
        <w:rPr>
          <w:bCs/>
          <w:b/>
        </w:rPr>
        <w:t xml:space="preserve">Calculation (Primary):</w:t>
      </w:r>
      <w:r>
        <w:t xml:space="preserve"> </w:t>
      </w:r>
      <w:r>
        <w:t xml:space="preserve">(0.62 kg / 1000) * 1500 km * 0.09 kg CO2e/tonne-km = 0.0837 kg CO2e</w:t>
      </w:r>
    </w:p>
    <w:p>
      <w:pPr>
        <w:numPr>
          <w:ilvl w:val="0"/>
          <w:numId w:val="1009"/>
        </w:numPr>
        <w:pStyle w:val="Compact"/>
      </w:pPr>
      <w:r>
        <w:rPr>
          <w:bCs/>
          <w:b/>
        </w:rPr>
        <w:t xml:space="preserve">Calculation (Last-Mile):</w:t>
      </w:r>
      <w:r>
        <w:t xml:space="preserve"> </w:t>
      </w:r>
      <w:r>
        <w:t xml:space="preserve">(0.62 kg / 1000) * 100 km * 0.15 kg CO2e/tonne-km = 0.0093 kg CO2e</w:t>
      </w:r>
    </w:p>
    <w:p>
      <w:pPr>
        <w:numPr>
          <w:ilvl w:val="0"/>
          <w:numId w:val="1009"/>
        </w:numPr>
        <w:pStyle w:val="Compact"/>
      </w:pPr>
      <w:r>
        <w:t xml:space="preserve">Packaging Transport (Assumed for 0.2 kg, 500 km primary, 100 km last-mile): (0.2 kg / 1000) * 500 km * 0.09 kg CO2e/tonne-km + (0.2 kg / 1000) * 100 km * 0.15 kg CO2e/tonne-km = 0.009 + 0.003 = 0.012 kg CO2e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Primary Transport (Materials/Product)</w:t>
            </w:r>
          </w:p>
        </w:tc>
        <w:tc>
          <w:tcPr/>
          <w:p>
            <w:pPr>
              <w:pStyle w:val="Compact"/>
              <w:jc w:val="left"/>
            </w:pPr>
            <w:r>
              <w:t xml:space="preserve">0.08</w:t>
            </w:r>
          </w:p>
        </w:tc>
      </w:tr>
      <w:tr>
        <w:tc>
          <w:tcPr/>
          <w:p>
            <w:pPr>
              <w:pStyle w:val="Compact"/>
              <w:jc w:val="left"/>
            </w:pPr>
            <w:r>
              <w:t xml:space="preserve">Last-Mile Delivery</w:t>
            </w:r>
          </w:p>
        </w:tc>
        <w:tc>
          <w:tcPr/>
          <w:p>
            <w:pPr>
              <w:pStyle w:val="Compact"/>
              <w:jc w:val="left"/>
            </w:pPr>
            <w:r>
              <w:t xml:space="preserve">0.01</w:t>
            </w:r>
          </w:p>
        </w:tc>
      </w:tr>
      <w:tr>
        <w:tc>
          <w:tcPr/>
          <w:p>
            <w:pPr>
              <w:pStyle w:val="Compact"/>
              <w:jc w:val="left"/>
            </w:pPr>
            <w:r>
              <w:t xml:space="preserve">Packaging Transport</w:t>
            </w:r>
          </w:p>
        </w:tc>
        <w:tc>
          <w:tcPr/>
          <w:p>
            <w:pPr>
              <w:pStyle w:val="Compact"/>
              <w:jc w:val="left"/>
            </w:pPr>
            <w:r>
              <w:t xml:space="preserve">0.01</w:t>
            </w:r>
          </w:p>
        </w:tc>
      </w:tr>
      <w:tr>
        <w:tc>
          <w:tcPr/>
          <w:p>
            <w:pPr>
              <w:pStyle w:val="Compact"/>
              <w:jc w:val="left"/>
            </w:pPr>
            <w:r>
              <w:rPr>
                <w:bCs/>
                <w:b/>
              </w:rPr>
              <w:t xml:space="preserve">Subtotal Transport</w:t>
            </w:r>
          </w:p>
        </w:tc>
        <w:tc>
          <w:tcPr/>
          <w:p>
            <w:pPr>
              <w:pStyle w:val="Compact"/>
              <w:jc w:val="left"/>
            </w:pPr>
            <w:r>
              <w:rPr>
                <w:bCs/>
                <w:b/>
              </w:rPr>
              <w:t xml:space="preserve">0.10</w:t>
            </w:r>
          </w:p>
        </w:tc>
      </w:tr>
    </w:tbl>
    <w:bookmarkEnd w:id="36"/>
    <w:bookmarkStart w:id="37" w:name="scope-3---downstream-use-phase-emissions"/>
    <w:p>
      <w:pPr>
        <w:pStyle w:val="Heading4"/>
      </w:pPr>
      <w:r>
        <w:t xml:space="preserve">Scope 3 - Downstream: Use Phase Emissions</w:t>
      </w:r>
    </w:p>
    <w:p>
      <w:pPr>
        <w:pStyle w:val="FirstParagraph"/>
      </w:pPr>
      <w:r>
        <w:t xml:space="preserve">Emissions from the energy consumption of the product during its lifespan.</w:t>
      </w:r>
    </w:p>
    <w:p>
      <w:pPr>
        <w:numPr>
          <w:ilvl w:val="0"/>
          <w:numId w:val="1010"/>
        </w:numPr>
        <w:pStyle w:val="Compact"/>
      </w:pPr>
      <w:r>
        <w:t xml:space="preserve">Product Lifespan (itemwretyr): 5 years</w:t>
      </w:r>
    </w:p>
    <w:p>
      <w:pPr>
        <w:numPr>
          <w:ilvl w:val="0"/>
          <w:numId w:val="1010"/>
        </w:numPr>
        <w:pStyle w:val="Compact"/>
      </w:pPr>
      <w:r>
        <w:t xml:space="preserve">Energy Consumption in Use (utnyxooyxn): 20 kWh/year</w:t>
      </w:r>
    </w:p>
    <w:p>
      <w:pPr>
        <w:numPr>
          <w:ilvl w:val="0"/>
          <w:numId w:val="1010"/>
        </w:numPr>
        <w:pStyle w:val="Compact"/>
      </w:pPr>
      <w:r>
        <w:t xml:space="preserve">Total Energy Consumption: 20 kWh/year * 5 years = 100 kWh</w:t>
      </w:r>
    </w:p>
    <w:p>
      <w:pPr>
        <w:numPr>
          <w:ilvl w:val="0"/>
          <w:numId w:val="1010"/>
        </w:numPr>
        <w:pStyle w:val="Compact"/>
      </w:pPr>
      <w:r>
        <w:t xml:space="preserve">Assumed Grid Emission Factor (Europe Focused): 0.25 kg CO2e/kWh</w:t>
      </w:r>
    </w:p>
    <w:p>
      <w:pPr>
        <w:numPr>
          <w:ilvl w:val="0"/>
          <w:numId w:val="1010"/>
        </w:numPr>
        <w:pStyle w:val="Compact"/>
      </w:pPr>
      <w:r>
        <w:rPr>
          <w:bCs/>
          <w:b/>
        </w:rPr>
        <w:t xml:space="preserve">Calculation:</w:t>
      </w:r>
      <w:r>
        <w:t xml:space="preserve"> </w:t>
      </w:r>
      <w:r>
        <w:t xml:space="preserve">100 kWh * 0.25 kg CO2e/kWh = 25.0 kg CO2e/unit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Use Phase Energy Consumption</w:t>
            </w:r>
          </w:p>
        </w:tc>
        <w:tc>
          <w:tcPr/>
          <w:p>
            <w:pPr>
              <w:pStyle w:val="Compact"/>
              <w:jc w:val="left"/>
            </w:pPr>
            <w:r>
              <w:t xml:space="preserve">25.00</w:t>
            </w:r>
          </w:p>
        </w:tc>
      </w:tr>
    </w:tbl>
    <w:bookmarkEnd w:id="37"/>
    <w:bookmarkStart w:id="38" w:name="Xe78cd0ddaa3a2482f9d1668ff5817e068812ae1"/>
    <w:p>
      <w:pPr>
        <w:pStyle w:val="Heading4"/>
      </w:pPr>
      <w:r>
        <w:t xml:space="preserve">Scope 3 - Downstream: End-of-Life (EoL) Emissions and Avoided Emissions</w:t>
      </w:r>
    </w:p>
    <w:p>
      <w:pPr>
        <w:pStyle w:val="FirstParagraph"/>
      </w:pPr>
      <w:r>
        <w:t xml:space="preserve">This phase accounts for emissions from disposal and potential avoided emissions due to recycling and circular economy programs.</w:t>
      </w:r>
    </w:p>
    <w:p>
      <w:pPr>
        <w:numPr>
          <w:ilvl w:val="0"/>
          <w:numId w:val="1011"/>
        </w:numPr>
        <w:pStyle w:val="Compact"/>
      </w:pPr>
      <w:r>
        <w:t xml:space="preserve">Recyclability Percentage (dthgqqzshl): 70% (0.70)</w:t>
      </w:r>
    </w:p>
    <w:p>
      <w:pPr>
        <w:numPr>
          <w:ilvl w:val="0"/>
          <w:numId w:val="1011"/>
        </w:numPr>
        <w:pStyle w:val="Compact"/>
      </w:pPr>
      <w:r>
        <w:t xml:space="preserve">Circular/Take-back Programs (otwztlphlx): Product Take-back Program</w:t>
      </w:r>
    </w:p>
    <w:p>
      <w:pPr>
        <w:numPr>
          <w:ilvl w:val="0"/>
          <w:numId w:val="1011"/>
        </w:numPr>
        <w:pStyle w:val="Compact"/>
      </w:pPr>
      <w:r>
        <w:t xml:space="preserve">Assumed material footprint (virgin equivalent, for avoided emissions calculation): Approx. 3.0 kg CO2e (derived from non-packaging materials).</w:t>
      </w:r>
    </w:p>
    <w:p>
      <w:pPr>
        <w:numPr>
          <w:ilvl w:val="0"/>
          <w:numId w:val="1011"/>
        </w:numPr>
        <w:pStyle w:val="Compact"/>
      </w:pPr>
      <w:r>
        <w:t xml:space="preserve">Recycling Benefit Factor: Assumed 0.7 (70% reduction in emissions for recycled content vs. virgin).</w:t>
      </w:r>
    </w:p>
    <w:p>
      <w:pPr>
        <w:numPr>
          <w:ilvl w:val="0"/>
          <w:numId w:val="1011"/>
        </w:numPr>
        <w:pStyle w:val="Compact"/>
      </w:pPr>
      <w:r>
        <w:t xml:space="preserve">Disposal Emission Factor (e.g., landfill): Assumed 0.5 kg CO2e/kg for non-recycled materials.</w:t>
      </w:r>
    </w:p>
    <w:p>
      <w:pPr>
        <w:numPr>
          <w:ilvl w:val="0"/>
          <w:numId w:val="1011"/>
        </w:numPr>
        <w:pStyle w:val="Compact"/>
      </w:pPr>
      <w:r>
        <w:rPr>
          <w:bCs/>
          <w:b/>
        </w:rPr>
        <w:t xml:space="preserve">Calculation (Avoided Emissions from Recycling):</w:t>
      </w:r>
      <w:r>
        <w:t xml:space="preserve"> </w:t>
      </w:r>
      <w:r>
        <w:t xml:space="preserve">0.70 * 3.0 kg CO2e (virgin equivalent) * 0.7 (benefit) = -1.47 kg CO2e</w:t>
      </w:r>
    </w:p>
    <w:p>
      <w:pPr>
        <w:numPr>
          <w:ilvl w:val="0"/>
          <w:numId w:val="1011"/>
        </w:numPr>
        <w:pStyle w:val="Compact"/>
      </w:pPr>
      <w:r>
        <w:rPr>
          <w:bCs/>
          <w:b/>
        </w:rPr>
        <w:t xml:space="preserve">Calculation (Disposal Emissions):</w:t>
      </w:r>
      <w:r>
        <w:t xml:space="preserve"> </w:t>
      </w:r>
      <w:r>
        <w:t xml:space="preserve">(1 - 0.70) * (0.62 kg product + 0.2 kg packaging) * 0.5 kg CO2e/kg = 0.3 * 0.82 kg * 0.5 kg CO2e/kg = 0.123 kg CO2e</w:t>
      </w:r>
    </w:p>
    <w:p>
      <w:pPr>
        <w:numPr>
          <w:ilvl w:val="0"/>
          <w:numId w:val="1011"/>
        </w:numPr>
        <w:pStyle w:val="Compact"/>
      </w:pPr>
      <w:r>
        <w:rPr>
          <w:bCs/>
          <w:b/>
        </w:rPr>
        <w:t xml:space="preserve">Net EoL Emissions:</w:t>
      </w:r>
      <w:r>
        <w:t xml:space="preserve"> </w:t>
      </w:r>
      <w:r>
        <w:t xml:space="preserve">0.123 kg CO2e - 1.47 kg CO2e = -1.347 kg CO2e (i.e., a net carbon removal/avoidance)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Disposal Emissions (Non-Recycled)</w:t>
            </w:r>
          </w:p>
        </w:tc>
        <w:tc>
          <w:tcPr/>
          <w:p>
            <w:pPr>
              <w:pStyle w:val="Compact"/>
              <w:jc w:val="left"/>
            </w:pPr>
            <w:r>
              <w:t xml:space="preserve">0.12</w:t>
            </w:r>
          </w:p>
        </w:tc>
      </w:tr>
      <w:tr>
        <w:tc>
          <w:tcPr/>
          <w:p>
            <w:pPr>
              <w:pStyle w:val="Compact"/>
              <w:jc w:val="left"/>
            </w:pPr>
            <w:r>
              <w:t xml:space="preserve">Avoided Emissions (Recycling &amp; Circular Programs)</w:t>
            </w:r>
          </w:p>
        </w:tc>
        <w:tc>
          <w:tcPr/>
          <w:p>
            <w:pPr>
              <w:pStyle w:val="Compact"/>
              <w:jc w:val="left"/>
            </w:pPr>
            <w:r>
              <w:t xml:space="preserve">-1.47</w:t>
            </w:r>
          </w:p>
        </w:tc>
      </w:tr>
      <w:tr>
        <w:tc>
          <w:tcPr/>
          <w:p>
            <w:pPr>
              <w:pStyle w:val="Compact"/>
              <w:jc w:val="left"/>
            </w:pPr>
            <w:r>
              <w:rPr>
                <w:bCs/>
                <w:b/>
              </w:rPr>
              <w:t xml:space="preserve">Subtotal End-of-Life</w:t>
            </w:r>
          </w:p>
        </w:tc>
        <w:tc>
          <w:tcPr/>
          <w:p>
            <w:pPr>
              <w:pStyle w:val="Compact"/>
              <w:jc w:val="left"/>
            </w:pPr>
            <w:r>
              <w:rPr>
                <w:bCs/>
                <w:b/>
              </w:rPr>
              <w:t xml:space="preserve">-1.35</w:t>
            </w:r>
          </w:p>
        </w:tc>
      </w:tr>
    </w:tbl>
    <w:bookmarkEnd w:id="38"/>
    <w:bookmarkStart w:id="39" w:name="X504f4a86e01fdcfa46a4589bb1b5e0cfaad8629"/>
    <w:p>
      <w:pPr>
        <w:pStyle w:val="Heading4"/>
      </w:pPr>
      <w:r>
        <w:t xml:space="preserve">2026 Land Sector and Removals (LSR) Standard Update</w:t>
      </w:r>
    </w:p>
    <w:p>
      <w:pPr>
        <w:pStyle w:val="FirstParagraph"/>
      </w:pPr>
      <w:r>
        <w:t xml:space="preserve">This report acknowledges the 2026 LSR Standard. While specific land-use change data for the raw materials (e.g., bio-based plastics) is not explicitly provided, future iterations of this PCF will integrate quantitative assessment of biogenic carbon flows, land-use change emissions, and carbon removals (e.g., through sustainable forestry for bio-based materials or direct air capture associated with the product\'s value chain). For this report, any potential carbon removals from the EoL phase (e.g., through highly efficient recycling leading to higher avoided emissions than direct disposal) are implicitly captured within the net EoL calculation.</w:t>
      </w:r>
    </w:p>
    <w:bookmarkEnd w:id="39"/>
    <w:bookmarkStart w:id="40" w:name="total-product-carbon-footprint"/>
    <w:p>
      <w:pPr>
        <w:pStyle w:val="Heading4"/>
      </w:pPr>
      <w:r>
        <w:t xml:space="preserve">Total Product Carbon Footprint</w:t>
      </w:r>
    </w:p>
    <w:p>
      <w:pPr>
        <w:pStyle w:val="FirstParagraph"/>
      </w:pPr>
      <w:r>
        <w:t xml:space="preserve">Summing up emissions from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3.11</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2.80</w:t>
            </w:r>
          </w:p>
        </w:tc>
      </w:tr>
      <w:tr>
        <w:tc>
          <w:tcPr/>
          <w:p>
            <w:pPr>
              <w:pStyle w:val="Compact"/>
              <w:jc w:val="left"/>
            </w:pPr>
            <w:r>
              <w:t xml:space="preserve">Manufacturing Direct Emissions</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Transport</w:t>
            </w:r>
          </w:p>
        </w:tc>
        <w:tc>
          <w:tcPr/>
          <w:p>
            <w:pPr>
              <w:pStyle w:val="Compact"/>
              <w:jc w:val="left"/>
            </w:pPr>
            <w:r>
              <w:t xml:space="preserve">Scope 3 (Upstream/Downstream)</w:t>
            </w:r>
          </w:p>
        </w:tc>
        <w:tc>
          <w:tcPr/>
          <w:p>
            <w:pPr>
              <w:pStyle w:val="Compact"/>
              <w:jc w:val="left"/>
            </w:pPr>
            <w:r>
              <w:t xml:space="preserve">0.10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-1.35</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29.66</w:t>
            </w:r>
          </w:p>
        </w:tc>
      </w:tr>
    </w:tbl>
    <w:p>
      <w:pPr>
        <w:pStyle w:val="BodyText"/>
      </w:pPr>
      <w:r>
        <w:t xml:space="preserve">The total Product Carbon Footprint for one functional unit of kqfwkmovri is</w:t>
      </w:r>
      <w:r>
        <w:t xml:space="preserve"> </w:t>
      </w:r>
      <w:r>
        <w:rPr>
          <w:bCs/>
          <w:b/>
        </w:rPr>
        <w:t xml:space="preserve">29.66 kg CO2e</w:t>
      </w:r>
      <w:r>
        <w:t xml:space="preserve">.</w:t>
      </w:r>
    </w:p>
    <w:p>
      <w:r>
        <w:pict>
          <v:rect style="width:0;height:1.5pt" o:hralign="center" o:hrstd="t" o:hr="t"/>
        </w:pict>
      </w:r>
    </w:p>
    <w:bookmarkEnd w:id="40"/>
    <w:bookmarkEnd w:id="41"/>
    <w:bookmarkEnd w:id="42"/>
    <w:bookmarkStart w:id="46" w:name="review-report"/>
    <w:p>
      <w:pPr>
        <w:pStyle w:val="Heading2"/>
      </w:pPr>
      <w:r>
        <w:t xml:space="preserve">5. Review &amp; Report</w:t>
      </w:r>
    </w:p>
    <w:bookmarkStart w:id="43" w:name="hotspots-identification"/>
    <w:p>
      <w:pPr>
        <w:pStyle w:val="Heading3"/>
      </w:pPr>
      <w:r>
        <w:t xml:space="preserve">Hotspots Identification</w:t>
      </w:r>
    </w:p>
    <w:p>
      <w:pPr>
        <w:pStyle w:val="FirstParagraph"/>
      </w:pPr>
      <w:r>
        <w:t xml:space="preserve">Based on the calculations, the primary carbon hotspots for \'kqfwkmovri\' are:</w:t>
      </w:r>
    </w:p>
    <w:p>
      <w:pPr>
        <w:numPr>
          <w:ilvl w:val="0"/>
          <w:numId w:val="1012"/>
        </w:numPr>
        <w:pStyle w:val="Compact"/>
      </w:pPr>
      <w:r>
        <w:rPr>
          <w:bCs/>
          <w:b/>
        </w:rPr>
        <w:t xml:space="preserve">Use Phase (25.00 kg CO2e):</w:t>
      </w:r>
      <w:r>
        <w:t xml:space="preserve"> </w:t>
      </w:r>
      <w:r>
        <w:t xml:space="preserve">This stage contributes the overwhelming majority of the product\'s footprint, primarily due to the energy consumption over its 5-year lifespan. This is a critical area for intervention.</w:t>
      </w:r>
    </w:p>
    <w:p>
      <w:pPr>
        <w:numPr>
          <w:ilvl w:val="0"/>
          <w:numId w:val="1012"/>
        </w:numPr>
        <w:pStyle w:val="Compact"/>
      </w:pPr>
      <w:r>
        <w:rPr>
          <w:bCs/>
          <w:b/>
        </w:rPr>
        <w:t xml:space="preserve">Manufacturing Energy (2.80 kg CO2e):</w:t>
      </w:r>
      <w:r>
        <w:t xml:space="preserve"> </w:t>
      </w:r>
      <w:r>
        <w:t xml:space="preserve">While significant, the high renewable energy usage (hofosmgokl) already mitigates a substantial portion of these emissions. Further increasing renewable energy penetration or optimizing energy efficiency could yield additional reductions.</w:t>
      </w:r>
    </w:p>
    <w:p>
      <w:pPr>
        <w:numPr>
          <w:ilvl w:val="0"/>
          <w:numId w:val="1012"/>
        </w:numPr>
        <w:pStyle w:val="Compact"/>
      </w:pPr>
      <w:r>
        <w:rPr>
          <w:bCs/>
          <w:b/>
        </w:rPr>
        <w:t xml:space="preserve">Materials (3.11 kg CO2e):</w:t>
      </w:r>
      <w:r>
        <w:t xml:space="preserve"> </w:t>
      </w:r>
      <w:r>
        <w:t xml:space="preserve">The embodied emissions in raw materials, particularly the plastic casing and circuit board, represent the next most significant contributor.</w:t>
      </w:r>
    </w:p>
    <w:bookmarkEnd w:id="43"/>
    <w:bookmarkStart w:id="44" w:name="reliability-assessment"/>
    <w:p>
      <w:pPr>
        <w:pStyle w:val="Heading3"/>
      </w:pPr>
      <w:r>
        <w:t xml:space="preserve">Reliability Assessment</w:t>
      </w:r>
    </w:p>
    <w:p>
      <w:pPr>
        <w:pStyle w:val="FirstParagraph"/>
      </w:pPr>
      <w:r>
        <w:t xml:space="preserve">The reliability of this PCF analysis is considered moderate to high, based on:</w:t>
      </w:r>
    </w:p>
    <w:p>
      <w:pPr>
        <w:numPr>
          <w:ilvl w:val="0"/>
          <w:numId w:val="1013"/>
        </w:numPr>
        <w:pStyle w:val="Compact"/>
      </w:pPr>
      <w:r>
        <w:rPr>
          <w:bCs/>
          <w:b/>
        </w:rPr>
        <w:t xml:space="preserve">Detailed Primary Data:</w:t>
      </w:r>
      <w:r>
        <w:t xml:space="preserve"> </w:t>
      </w:r>
      <w:r>
        <w:t xml:space="preserve">The use of a detailed Bill of Materials (pojrflzq) and specific energy customization data (hofosmgokl, skdfmjhyjr) enhances accuracy for the manufacturing and materials phases.</w:t>
      </w:r>
    </w:p>
    <w:p>
      <w:pPr>
        <w:numPr>
          <w:ilvl w:val="0"/>
          <w:numId w:val="1013"/>
        </w:numPr>
        <w:pStyle w:val="Compact"/>
      </w:pPr>
      <w:r>
        <w:rPr>
          <w:bCs/>
          <w:b/>
        </w:rPr>
        <w:t xml:space="preserve">Adherence to GHG Protocol:</w:t>
      </w:r>
      <w:r>
        <w:t xml:space="preserve"> </w:t>
      </w:r>
      <w:r>
        <w:t xml:space="preserve">Strict adherence to the GHG Protocol ensures a standardized and robust methodology.</w:t>
      </w:r>
    </w:p>
    <w:p>
      <w:pPr>
        <w:numPr>
          <w:ilvl w:val="0"/>
          <w:numId w:val="1013"/>
        </w:numPr>
        <w:pStyle w:val="Compact"/>
      </w:pPr>
      <w:r>
        <w:rPr>
          <w:bCs/>
          <w:b/>
        </w:rPr>
        <w:t xml:space="preserve">Scope 3 Coverage:</w:t>
      </w:r>
      <w:r>
        <w:t xml:space="preserve"> </w:t>
      </w:r>
      <w:r>
        <w:t xml:space="preserve">Efforts have been made to achieve over 95% Scope 3 coverage, providing a comprehensive view of value chain emissions.</w:t>
      </w:r>
    </w:p>
    <w:p>
      <w:pPr>
        <w:numPr>
          <w:ilvl w:val="0"/>
          <w:numId w:val="1013"/>
        </w:numPr>
        <w:pStyle w:val="Compact"/>
      </w:pPr>
      <w:r>
        <w:rPr>
          <w:bCs/>
          <w:b/>
        </w:rPr>
        <w:t xml:space="preserve">Assumed Emission Factors:</w:t>
      </w:r>
      <w:r>
        <w:t xml:space="preserve"> </w:t>
      </w:r>
      <w:r>
        <w:t xml:space="preserve">Where primary data or specific emission factors were not provided, illustrative industry-average emission factors have been used (e.g., for transport modes, grid mixes). These assumptions introduce a degree of uncertainty, highlighting the need for specific regional/supplier-specific data for increased precision.</w:t>
      </w:r>
    </w:p>
    <w:p>
      <w:pPr>
        <w:numPr>
          <w:ilvl w:val="0"/>
          <w:numId w:val="1013"/>
        </w:numPr>
        <w:pStyle w:val="Compact"/>
      </w:pPr>
      <w:r>
        <w:rPr>
          <w:bCs/>
          <w:b/>
        </w:rPr>
        <w:t xml:space="preserve">LSR Integration:</w:t>
      </w:r>
      <w:r>
        <w:t xml:space="preserve"> </w:t>
      </w:r>
      <w:r>
        <w:t xml:space="preserve">While the LSR standard is acknowledged, specific data points for land-use change were not available, leading to a qualitative rather than quantitative integration in this report.</w:t>
      </w:r>
    </w:p>
    <w:bookmarkEnd w:id="44"/>
    <w:bookmarkStart w:id="45" w:name="recommendations-for-emission-reduction"/>
    <w:p>
      <w:pPr>
        <w:pStyle w:val="Heading3"/>
      </w:pPr>
      <w:r>
        <w:t xml:space="preserve">Recommendations for Emission Reduction</w:t>
      </w:r>
    </w:p>
    <w:p>
      <w:pPr>
        <w:pStyle w:val="FirstParagraph"/>
      </w:pPr>
      <w:r>
        <w:t xml:space="preserve">To significantly reduce the carbon footprint of \'kqfwkmovri\', ywxmxjnzjy should focus on the following strategic areas:</w:t>
      </w:r>
    </w:p>
    <w:p>
      <w:pPr>
        <w:numPr>
          <w:ilvl w:val="0"/>
          <w:numId w:val="1014"/>
        </w:numPr>
        <w:pStyle w:val="Compact"/>
      </w:pPr>
      <w:r>
        <w:rPr>
          <w:bCs/>
          <w:b/>
        </w:rPr>
        <w:t xml:space="preserve">Optimize Use Phase Efficiency:</w:t>
      </w:r>
    </w:p>
    <w:p>
      <w:pPr>
        <w:numPr>
          <w:ilvl w:val="1"/>
          <w:numId w:val="1015"/>
        </w:numPr>
        <w:pStyle w:val="Compact"/>
      </w:pPr>
      <w:r>
        <w:t xml:space="preserve">Explore design innovations to drastically reduce the product\'s energy consumption during its lifespan (utnyxooyxn).</w:t>
      </w:r>
    </w:p>
    <w:p>
      <w:pPr>
        <w:numPr>
          <w:ilvl w:val="1"/>
          <w:numId w:val="1015"/>
        </w:numPr>
        <w:pStyle w:val="Compact"/>
      </w:pPr>
      <w:r>
        <w:t xml:space="preserve">Investigate energy-saving modes, longer-lasting components, or alternative power sources for the end-user.</w:t>
      </w:r>
    </w:p>
    <w:p>
      <w:pPr>
        <w:numPr>
          <w:ilvl w:val="1"/>
          <w:numId w:val="1015"/>
        </w:numPr>
        <w:pStyle w:val="Compact"/>
      </w:pPr>
      <w:r>
        <w:t xml:space="preserve">Provide consumers with clear guidance on energy-efficient usage.</w:t>
      </w:r>
    </w:p>
    <w:p>
      <w:pPr>
        <w:numPr>
          <w:ilvl w:val="0"/>
          <w:numId w:val="1014"/>
        </w:numPr>
        <w:pStyle w:val="Compact"/>
      </w:pPr>
      <w:r>
        <w:rPr>
          <w:bCs/>
          <w:b/>
        </w:rPr>
        <w:t xml:space="preserve">Enhance Renewable Energy Adoption in Manufacturing:</w:t>
      </w:r>
    </w:p>
    <w:p>
      <w:pPr>
        <w:numPr>
          <w:ilvl w:val="1"/>
          <w:numId w:val="1016"/>
        </w:numPr>
        <w:pStyle w:val="Compact"/>
      </w:pPr>
      <w:r>
        <w:t xml:space="preserve">Continue to increase the percentage of renewable energy (hofosmgokl) used at the China production facility, potentially through direct procurement or on-site generation.</w:t>
      </w:r>
    </w:p>
    <w:p>
      <w:pPr>
        <w:numPr>
          <w:ilvl w:val="1"/>
          <w:numId w:val="1016"/>
        </w:numPr>
        <w:pStyle w:val="Compact"/>
      </w:pPr>
      <w:r>
        <w:t xml:space="preserve">Explore carbon offsetting for unavoidable manufacturing emissions from non-renewable sources.</w:t>
      </w:r>
    </w:p>
    <w:p>
      <w:pPr>
        <w:numPr>
          <w:ilvl w:val="0"/>
          <w:numId w:val="1014"/>
        </w:numPr>
        <w:pStyle w:val="Compact"/>
      </w:pPr>
      <w:r>
        <w:rPr>
          <w:bCs/>
          <w:b/>
        </w:rPr>
        <w:t xml:space="preserve">Material Circularity and Sourcing:</w:t>
      </w:r>
    </w:p>
    <w:p>
      <w:pPr>
        <w:numPr>
          <w:ilvl w:val="1"/>
          <w:numId w:val="1017"/>
        </w:numPr>
        <w:pStyle w:val="Compact"/>
      </w:pPr>
      <w:r>
        <w:t xml:space="preserve">Investigate lower-carbon alternatives for high-impact materials (e.g., bioplastics, recycled content plastics for the casing).</w:t>
      </w:r>
    </w:p>
    <w:p>
      <w:pPr>
        <w:numPr>
          <w:ilvl w:val="1"/>
          <w:numId w:val="1017"/>
        </w:numPr>
        <w:pStyle w:val="Compact"/>
      </w:pPr>
      <w:r>
        <w:t xml:space="preserve">Work with suppliers to reduce the embodied carbon of components, potentially through design for disassembly and material passports.</w:t>
      </w:r>
    </w:p>
    <w:p>
      <w:pPr>
        <w:numPr>
          <w:ilvl w:val="0"/>
          <w:numId w:val="1014"/>
        </w:numPr>
        <w:pStyle w:val="Compact"/>
      </w:pPr>
      <w:r>
        <w:rPr>
          <w:bCs/>
          <w:b/>
        </w:rPr>
        <w:t xml:space="preserve">Strengthen End-of-Life Management:</w:t>
      </w:r>
    </w:p>
    <w:p>
      <w:pPr>
        <w:numPr>
          <w:ilvl w:val="1"/>
          <w:numId w:val="1018"/>
        </w:numPr>
        <w:pStyle w:val="Compact"/>
      </w:pPr>
      <w:r>
        <w:t xml:space="preserve">Expand the \'otwztlphlx\' Product Take-back Program to ensure higher collection rates and more efficient recycling/refurbishment.</w:t>
      </w:r>
    </w:p>
    <w:p>
      <w:pPr>
        <w:numPr>
          <w:ilvl w:val="1"/>
          <w:numId w:val="1018"/>
        </w:numPr>
        <w:pStyle w:val="Compact"/>
      </w:pPr>
      <w:r>
        <w:t xml:space="preserve">Explore upcycling or advanced recycling technologies for materials that are currently difficult to recycle, further enhancing the recyclability percentage (dthgqqzshl).</w:t>
      </w:r>
    </w:p>
    <w:p>
      <w:pPr>
        <w:numPr>
          <w:ilvl w:val="0"/>
          <w:numId w:val="1014"/>
        </w:numPr>
        <w:pStyle w:val="Compact"/>
      </w:pPr>
      <w:r>
        <w:rPr>
          <w:bCs/>
          <w:b/>
        </w:rPr>
        <w:t xml:space="preserve">Supply Chain Engagement for Transport:</w:t>
      </w:r>
    </w:p>
    <w:p>
      <w:pPr>
        <w:numPr>
          <w:ilvl w:val="1"/>
          <w:numId w:val="1019"/>
        </w:numPr>
        <w:pStyle w:val="Compact"/>
      </w:pPr>
      <w:r>
        <w:t xml:space="preserve">Optimize logistics routes, explore multimodal transport options (e.g., rail, sea) for long distances to reduce reliance on higher-emission modes.</w:t>
      </w:r>
    </w:p>
    <w:p>
      <w:pPr>
        <w:numPr>
          <w:ilvl w:val="1"/>
          <w:numId w:val="1019"/>
        </w:numPr>
        <w:pStyle w:val="Compact"/>
      </w:pPr>
      <w:r>
        <w:t xml:space="preserve">Collaborate with transport providers using lower-emission fuels or electric fleets.</w:t>
      </w:r>
    </w:p>
    <w:p>
      <w:r>
        <w:pict>
          <v:rect style="width:0;height:1.5pt" o:hralign="center" o:hrstd="t" o:hr="t"/>
        </w:pict>
      </w:r>
    </w:p>
    <w:bookmarkEnd w:id="45"/>
    <w:bookmarkEnd w:id="46"/>
    <w:p>
      <w:pPr>
        <w:pStyle w:val="FirstParagraph"/>
      </w:pPr>
      <w:r>
        <w:t xml:space="preserve">Confidential - Internal Use Only | Page</w:t>
      </w:r>
      <w:r>
        <w:t xml:space="preserve"> </w:t>
      </w:r>
      <w:bookmarkStart w:id="47" w:name="page-number"/>
      <w:bookmarkEnd w:id="47"/>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kqfwkmovri</dc:title>
  <dc:creator/>
  <dc:description>Detailed Product Carbon Footprint (PCF) analysis report for product kqfwkmovri, adhering to GHG Protocol standards and 2026 LSR updates, prepared by pwmkejsqrl for ywxmxjnzjy.</dc:description>
  <dc:language>en</dc:language>
  <cp:keywords/>
  <dcterms:created xsi:type="dcterms:W3CDTF">2026-05-30T21:11:36Z</dcterms:created>
  <dcterms:modified xsi:type="dcterms:W3CDTF">2026-05-30T21:11:36Z</dcterms:modified>
</cp:coreProperties>
</file>

<file path=docProps/custom.xml><?xml version="1.0" encoding="utf-8"?>
<Properties xmlns="http://schemas.openxmlformats.org/officeDocument/2006/custom-properties" xmlns:vt="http://schemas.openxmlformats.org/officeDocument/2006/docPropsVTypes"/>
</file>