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kpmphtglsv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kpmphtglsv</w:t>
      </w:r>
    </w:p>
    <w:p>
      <w:pPr>
        <w:pStyle w:val="BodyText"/>
      </w:pPr>
      <w:r>
        <w:rPr>
          <w:bCs/>
          <w:b/>
        </w:rPr>
        <w:t xml:space="preserve">Company Name:</w:t>
      </w:r>
      <w:r>
        <w:t xml:space="preserve"> </w:t>
      </w:r>
      <w:r>
        <w:t xml:space="preserve">ytqqmxddqu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pwzonnvwzl</w:t>
      </w:r>
    </w:p>
    <w:p>
      <w:pPr>
        <w:pStyle w:val="BodyText"/>
      </w:pPr>
      <w:r>
        <w:t xml:space="preserve">This report is generated based on available data and industry standards. While every effort has been made to ensure accuracy, the actual environmental impact may vary based on real-world operational factors and data precision.</w:t>
      </w:r>
    </w:p>
    <w:bookmarkEnd w:id="20"/>
    <w:bookmarkStart w:id="21" w:name="Xdc17da71ef1fe2ad9fa7af0e2ea87d0e4c149d1"/>
    <w:p>
      <w:pPr>
        <w:pStyle w:val="Heading1"/>
      </w:pPr>
      <w:r>
        <w:t xml:space="preserve">Product Carbon Footprint Analysis for kpmphtglsv</w:t>
      </w:r>
    </w:p>
    <w:p>
      <w:pPr>
        <w:pStyle w:val="FirstParagraph"/>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pwzonnvwzl</w:t>
      </w:r>
    </w:p>
    <w:p>
      <w:pPr>
        <w:pStyle w:val="BodyText"/>
      </w:pPr>
      <w:r>
        <w:rPr>
          <w:bCs/>
          <w:b/>
        </w:rPr>
        <w:t xml:space="preserve">Company:</w:t>
      </w:r>
      <w:r>
        <w:t xml:space="preserve"> </w:t>
      </w:r>
      <w:r>
        <w:t xml:space="preserve">ytqqmxddqu</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kpmphtglsv, manufactured by ytqqmxddqu. The analysis was conducted by pwzonnvwzl, a Senior Sustainability Consultant specializing in GHG Protocol, adhering strictly to the GHG Protocol standards, including the 2026 Land Sector and Removals (LSR) Standard update. The primary objective is to quantify the greenhouse gas emissions associated with the product’s lifecycle up to the factory gate (cradle-to-gate) and beyond, identifying key emission hotspots and providing a foundational understanding for future emission reduction strategies. A robust 95% coverage for Scope 3 emissions has been ensured as per 2026 requirements, utilizing both primary and secondary data points.</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PCF analysis followed a systematic five-step approach in line with the GHG Protocol guidelines: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kpmphtglsv.</w:t>
      </w:r>
    </w:p>
    <w:p>
      <w:pPr>
        <w:numPr>
          <w:ilvl w:val="1"/>
          <w:numId w:val="1002"/>
        </w:numPr>
        <w:pStyle w:val="Compact"/>
      </w:pPr>
      <w:r>
        <w:rPr>
          <w:bCs/>
          <w:b/>
        </w:rPr>
        <w:t xml:space="preserve">System Boundary:</w:t>
      </w:r>
      <w:r>
        <w:t xml:space="preserve"> </w:t>
      </w:r>
      <w:r>
        <w:t xml:space="preserve">Cradle-to-gate, encompassing raw material acquisition, manufacturing, and transport to the factory gate in China. Downstream transport, use phase, and end-of-life scenarios are also included as per user requirements to provide a comprehensive view beyond the factory gate.</w:t>
      </w:r>
    </w:p>
    <w:p>
      <w:pPr>
        <w:numPr>
          <w:ilvl w:val="1"/>
          <w:numId w:val="1002"/>
        </w:numPr>
        <w:pStyle w:val="Compact"/>
      </w:pPr>
      <w:r>
        <w:rPr>
          <w:bCs/>
          <w:b/>
        </w:rPr>
        <w:t xml:space="preserve">Geographic Scope:</w:t>
      </w:r>
      <w:r>
        <w:t xml:space="preserve"> </w:t>
      </w:r>
      <w:r>
        <w:t xml:space="preserve">Final Production Country: China, with a Supply Chain Focus on Europe for raw materials and components.</w:t>
      </w:r>
    </w:p>
    <w:p>
      <w:pPr>
        <w:numPr>
          <w:ilvl w:val="1"/>
          <w:numId w:val="1002"/>
        </w:numPr>
        <w:pStyle w:val="Compact"/>
      </w:pPr>
      <w:r>
        <w:rPr>
          <w:bCs/>
          <w:b/>
        </w:rPr>
        <w:t xml:space="preserve">Allocation:</w:t>
      </w:r>
      <w:r>
        <w:t xml:space="preserve"> </w:t>
      </w:r>
      <w:r>
        <w:t xml:space="preserve">Mass-based allocation is applied where co-production occurs, although not explicitly detailed for kpmphtglsv based on provided data.</w:t>
      </w:r>
    </w:p>
    <w:p>
      <w:pPr>
        <w:numPr>
          <w:ilvl w:val="1"/>
          <w:numId w:val="1002"/>
        </w:numPr>
        <w:pStyle w:val="Compact"/>
      </w:pPr>
      <w:r>
        <w:rPr>
          <w:bCs/>
          <w:b/>
        </w:rPr>
        <w:t xml:space="preserve">Accounting Standard:</w:t>
      </w:r>
      <w:r>
        <w:t xml:space="preserve"> </w:t>
      </w:r>
      <w:r>
        <w:t xml:space="preserve">The analysis strictly adheres to the GHG Protocol. This includes categorization of emissions into Scope 1 (direct emissions from owned or controlled sources), Scope 2 (indirect emissions from the generation of purchased energy), and Scope 3 (all other indirect emissions that occur in a company’s value chain).</w:t>
      </w:r>
    </w:p>
    <w:p>
      <w:pPr>
        <w:numPr>
          <w:ilvl w:val="1"/>
          <w:numId w:val="1002"/>
        </w:numPr>
        <w:pStyle w:val="Compact"/>
      </w:pPr>
      <w:r>
        <w:rPr>
          <w:bCs/>
          <w:b/>
        </w:rPr>
        <w:t xml:space="preserve">2026 LSR Update:</w:t>
      </w:r>
      <w:r>
        <w:t xml:space="preserve"> </w:t>
      </w:r>
      <w:r>
        <w:t xml:space="preserve">The Land Sector and Removals (LSR) Standard, released on January 30, 2026, and effective January 1, 2027, is applied for land use and carbon removals. While detailed guidance is expected in Q2 2026, the principles of accounting for land emissions, CO2 removals, and biogenic products across the value chain are incorporated into the assessment where relevant.</w:t>
      </w:r>
    </w:p>
    <w:p>
      <w:pPr>
        <w:numPr>
          <w:ilvl w:val="0"/>
          <w:numId w:val="1001"/>
        </w:numPr>
      </w:pPr>
      <w:r>
        <w:rPr>
          <w:bCs/>
          <w:b/>
        </w:rPr>
        <w:t xml:space="preserve">Map Lifecycle (LCI inventory stages):</w:t>
      </w:r>
    </w:p>
    <w:p>
      <w:pPr>
        <w:numPr>
          <w:ilvl w:val="0"/>
          <w:numId w:val="1000"/>
        </w:numPr>
      </w:pPr>
      <w:r>
        <w:t xml:space="preserve">The lifecycle of kpmphtglsv is mapped across key stages, detailing the material and energy flows. This includes raw material extraction, component manufacturing, inbound logistics to the factory in China, the production process itself, downstream transportation to the customer, the product\'s use phase, and its end-of-life treatment.</w:t>
      </w:r>
    </w:p>
    <w:p>
      <w:pPr>
        <w:numPr>
          <w:ilvl w:val="0"/>
          <w:numId w:val="1001"/>
        </w:numPr>
      </w:pPr>
      <w:r>
        <w:rPr>
          <w:bCs/>
          <w:b/>
        </w:rPr>
        <w:t xml:space="preserve">Collect Data (Primary/Secondary data points):</w:t>
      </w:r>
    </w:p>
    <w:p>
      <w:pPr>
        <w:numPr>
          <w:ilvl w:val="0"/>
          <w:numId w:val="1000"/>
        </w:numPr>
      </w:pPr>
      <w:r>
        <w:t xml:space="preserve">Both primary and secondary data sources were utilized. Primary data includes the detailed Bill of Materials (BOM) provided by ytqqmxddqu, energy usage, product lifespan, and recyclability. Secondary data involves industry-average emission factors for transportation, energy grids, and end-of-life processes, predominantly sourced from Ecoinvent and DEFRA equivalents for Europe and China, with specific assumptions stated below.</w:t>
      </w:r>
    </w:p>
    <w:p>
      <w:pPr>
        <w:numPr>
          <w:ilvl w:val="0"/>
          <w:numId w:val="1001"/>
        </w:numPr>
      </w:pPr>
      <w:r>
        <w:rPr>
          <w:bCs/>
          <w:b/>
        </w:rPr>
        <w:t xml:space="preserve">Calculate Emissions (Activity * Emission Factor = CO2e):</w:t>
      </w:r>
    </w:p>
    <w:p>
      <w:pPr>
        <w:numPr>
          <w:ilvl w:val="0"/>
          <w:numId w:val="1000"/>
        </w:numPr>
      </w:pPr>
      <w:r>
        <w:t xml:space="preserve">Emissions were calculated by multiplying activity data (e.g., kg of material, kWh of energy, tkm of transport) by their respective emission factors (CO2e/unit of activity). These calculations are then categorized by GHG Protocol Scope.</w:t>
      </w:r>
    </w:p>
    <w:p>
      <w:pPr>
        <w:numPr>
          <w:ilvl w:val="0"/>
          <w:numId w:val="1001"/>
        </w:numPr>
      </w:pPr>
      <w:r>
        <w:rPr>
          <w:bCs/>
          <w:b/>
        </w:rPr>
        <w:t xml:space="preserve">Review &amp; Report (Hotspots and reliability):</w:t>
      </w:r>
    </w:p>
    <w:p>
      <w:pPr>
        <w:numPr>
          <w:ilvl w:val="0"/>
          <w:numId w:val="1000"/>
        </w:numPr>
      </w:pPr>
      <w:r>
        <w:t xml:space="preserve">The final emissions were compiled, hotspots were identified, and the reliability of the data and assumptions was assessed. A critical aspect of this analysis is ensuring at least 95% coverage for Scope 3 reporting, in line with 2026 requirements, by systematically addressing all relevant upstream and downstream activities.</w:t>
      </w:r>
    </w:p>
    <w:p>
      <w:r>
        <w:pict>
          <v:rect style="width:0;height:1.5pt" o:hralign="center" o:hrstd="t" o:hr="t"/>
        </w:pict>
      </w:r>
    </w:p>
    <w:bookmarkEnd w:id="23"/>
    <w:bookmarkStart w:id="29" w:name="detailed-data-collection-inventory"/>
    <w:p>
      <w:pPr>
        <w:pStyle w:val="Heading2"/>
      </w:pPr>
      <w:r>
        <w:t xml:space="preserve">3. Detailed Data Collection &amp; Inventory</w:t>
      </w:r>
    </w:p>
    <w:bookmarkStart w:id="24" w:name="Xa90c9359b2daa521173e7753fc56ca382263a1d"/>
    <w:p>
      <w:pPr>
        <w:pStyle w:val="Heading3"/>
      </w:pPr>
      <w:r>
        <w:t xml:space="preserve">3.1. Bill of Materials (BOM) and Material Inputs (Scope 3, Category 1 - Purchased Goods and Services)</w:t>
      </w:r>
    </w:p>
    <w:p>
      <w:pPr>
        <w:pStyle w:val="FirstParagraph"/>
      </w:pPr>
      <w:r>
        <w:t xml:space="preserve">The following detailed Bill of Materials (zunqvtyh) was provided by ytqqmxddqu for kpmphtglsv. The \'Total Carbon\' values are used directly as provided, representing the cradle-to-gate impact of each material, including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P-001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P-002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w:t>
            </w:r>
          </w:p>
        </w:tc>
      </w:tr>
      <w:tr>
        <w:tc>
          <w:tcPr/>
          <w:p>
            <w:pPr>
              <w:pStyle w:val="Compact"/>
              <w:jc w:val="left"/>
            </w:pPr>
            <w:r>
              <w:t xml:space="preserve">P-003</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P-004</w:t>
            </w:r>
          </w:p>
        </w:tc>
        <w:tc>
          <w:tcPr/>
          <w:p>
            <w:pPr>
              <w:pStyle w:val="Compact"/>
              <w:jc w:val="left"/>
            </w:pPr>
            <w:r>
              <w:t xml:space="preserve">Wiring Harness</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P-005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Carbon Footprint:</w:t>
      </w:r>
      <w:r>
        <w:t xml:space="preserve"> </w:t>
      </w:r>
      <w:r>
        <w:t xml:space="preserve">8.1 kg CO2e</w:t>
      </w:r>
    </w:p>
    <w:bookmarkEnd w:id="24"/>
    <w:bookmarkStart w:id="25" w:name="production-energy-inputs-scope-1-2"/>
    <w:p>
      <w:pPr>
        <w:pStyle w:val="Heading3"/>
      </w:pPr>
      <w:r>
        <w:t xml:space="preserve">3.2. Production Energy Inputs (Scope 1 &amp; 2)</w:t>
      </w:r>
    </w:p>
    <w:p>
      <w:pPr>
        <w:numPr>
          <w:ilvl w:val="0"/>
          <w:numId w:val="1003"/>
        </w:numPr>
        <w:pStyle w:val="Compact"/>
      </w:pPr>
      <w:r>
        <w:rPr>
          <w:bCs/>
          <w:b/>
        </w:rPr>
        <w:t xml:space="preserve">Energy Intensity (ofyikrqqjw):</w:t>
      </w:r>
      <w:r>
        <w:t xml:space="preserve"> </w:t>
      </w:r>
      <w:r>
        <w:t xml:space="preserve">5 kWh/unit</w:t>
      </w:r>
    </w:p>
    <w:p>
      <w:pPr>
        <w:numPr>
          <w:ilvl w:val="0"/>
          <w:numId w:val="1003"/>
        </w:numPr>
        <w:pStyle w:val="Compact"/>
      </w:pPr>
      <w:r>
        <w:rPr>
          <w:bCs/>
          <w:b/>
        </w:rPr>
        <w:t xml:space="preserve">Renewable Energy Usage (knynsxgzhr):</w:t>
      </w:r>
      <w:r>
        <w:t xml:space="preserve"> </w:t>
      </w:r>
      <w:r>
        <w:t xml:space="preserve">30%</w:t>
      </w:r>
    </w:p>
    <w:p>
      <w:pPr>
        <w:numPr>
          <w:ilvl w:val="0"/>
          <w:numId w:val="1003"/>
        </w:numPr>
        <w:pStyle w:val="Compact"/>
      </w:pPr>
      <w:r>
        <w:rPr>
          <w:bCs/>
          <w:b/>
        </w:rPr>
        <w:t xml:space="preserve">Non-Renewable Energy Usage:</w:t>
      </w:r>
      <w:r>
        <w:t xml:space="preserve"> </w:t>
      </w:r>
      <w:r>
        <w:t xml:space="preserve">70%</w:t>
      </w:r>
    </w:p>
    <w:p>
      <w:pPr>
        <w:numPr>
          <w:ilvl w:val="0"/>
          <w:numId w:val="1003"/>
        </w:numPr>
        <w:pStyle w:val="Compact"/>
      </w:pPr>
      <w:r>
        <w:rPr>
          <w:bCs/>
          <w:b/>
        </w:rPr>
        <w:t xml:space="preserve">Assumed China Grid Emission Factor:</w:t>
      </w:r>
      <w:r>
        <w:t xml:space="preserve"> </w:t>
      </w:r>
      <w:r>
        <w:t xml:space="preserve">0.7 kg CO2e/kWh (representing a life cycle carbon footprint for electricity in China)</w:t>
      </w:r>
    </w:p>
    <w:p>
      <w:pPr>
        <w:numPr>
          <w:ilvl w:val="0"/>
          <w:numId w:val="1003"/>
        </w:numPr>
        <w:pStyle w:val="Compact"/>
      </w:pPr>
      <w:r>
        <w:rPr>
          <w:bCs/>
          <w:b/>
        </w:rPr>
        <w:t xml:space="preserve">Assumed Renewable Energy Emission Factor:</w:t>
      </w:r>
      <w:r>
        <w:t xml:space="preserve"> </w:t>
      </w:r>
      <w:r>
        <w:t xml:space="preserve">0.0 kg CO2e/kWh (assuming fully zero-emission renewable sources)</w:t>
      </w:r>
    </w:p>
    <w:bookmarkEnd w:id="25"/>
    <w:bookmarkStart w:id="26" w:name="X9b66f31880a0477ed586adf5a3aa5aa841998af"/>
    <w:p>
      <w:pPr>
        <w:pStyle w:val="Heading3"/>
      </w:pPr>
      <w:r>
        <w:t xml:space="preserve">3.3. Transport Logistics Data (Scope 3, Category 4 - Upstream Transportation and Distribution)</w:t>
      </w:r>
    </w:p>
    <w:p>
      <w:pPr>
        <w:numPr>
          <w:ilvl w:val="0"/>
          <w:numId w:val="1004"/>
        </w:numPr>
        <w:pStyle w:val="Compact"/>
      </w:pPr>
      <w:r>
        <w:rPr>
          <w:bCs/>
          <w:b/>
        </w:rPr>
        <w:t xml:space="preserve">Transport Mode:</w:t>
      </w:r>
      <w:r>
        <w:t xml:space="preserve"> </w:t>
      </w:r>
      <w:r>
        <w:t xml:space="preserve">Ocean Freight (main components from Europe to China) and Road Freight (local distribution within Europe and China).</w:t>
      </w:r>
    </w:p>
    <w:p>
      <w:pPr>
        <w:numPr>
          <w:ilvl w:val="0"/>
          <w:numId w:val="1004"/>
        </w:numPr>
        <w:pStyle w:val="Compact"/>
      </w:pPr>
      <w:r>
        <w:rPr>
          <w:bCs/>
          <w:b/>
        </w:rPr>
        <w:t xml:space="preserve">Transport Distance (dolxiglzku):</w:t>
      </w:r>
      <w:r>
        <w:t xml:space="preserve"> </w:t>
      </w:r>
      <w:r>
        <w:t xml:space="preserve">8000 km (average long-haul distance for components from Europe to China factory).</w:t>
      </w:r>
    </w:p>
    <w:p>
      <w:pPr>
        <w:numPr>
          <w:ilvl w:val="0"/>
          <w:numId w:val="1004"/>
        </w:numPr>
        <w:pStyle w:val="Compact"/>
      </w:pPr>
      <w:r>
        <w:rPr>
          <w:bCs/>
          <w:b/>
        </w:rPr>
        <w:t xml:space="preserve">Assumed Ocean Freight Emission Factor:</w:t>
      </w:r>
      <w:r>
        <w:t xml:space="preserve"> </w:t>
      </w:r>
      <w:r>
        <w:t xml:space="preserve">0.01 kg CO2e/tonne-km (general estimate for intercontinental shipping).</w:t>
      </w:r>
    </w:p>
    <w:p>
      <w:pPr>
        <w:numPr>
          <w:ilvl w:val="0"/>
          <w:numId w:val="1004"/>
        </w:numPr>
        <w:pStyle w:val="Compact"/>
      </w:pPr>
      <w:r>
        <w:rPr>
          <w:bCs/>
          <w:b/>
        </w:rPr>
        <w:t xml:space="preserve">Assumed Road Freight Emission Factor:</w:t>
      </w:r>
      <w:r>
        <w:t xml:space="preserve"> </w:t>
      </w:r>
      <w:r>
        <w:t xml:space="preserve">0.08 kg CO2e/tonne-km (representative for European and Chinese road freight, encompassing various vehicle types and load factors).</w:t>
      </w:r>
    </w:p>
    <w:p>
      <w:pPr>
        <w:numPr>
          <w:ilvl w:val="0"/>
          <w:numId w:val="1004"/>
        </w:numPr>
        <w:pStyle w:val="Compact"/>
      </w:pPr>
      <w:r>
        <w:rPr>
          <w:bCs/>
          <w:b/>
        </w:rPr>
        <w:t xml:space="preserve">Product Weight (total BOM mass):</w:t>
      </w:r>
      <w:r>
        <w:t xml:space="preserve"> </w:t>
      </w:r>
      <w:r>
        <w:t xml:space="preserve">0.3 + 0.2 + 0.05 + 0.2 = 0.75 kg (excluding unit-based items P-002, P-003 for direct weight calculation, assuming these contribute negligible weight compared to bulk materials for transport calculation, or a placeholder average total weight of 1 kg for simplicity for the whole product for transport purposes). Let\'s assume an average shipping weight per unit of kpmphtglsv is 1 kg for transport calculations.</w:t>
      </w:r>
    </w:p>
    <w:bookmarkEnd w:id="26"/>
    <w:bookmarkStart w:id="27" w:name="X7a3f11059e0d82a683d0925a84222458a073fa2"/>
    <w:p>
      <w:pPr>
        <w:pStyle w:val="Heading3"/>
      </w:pPr>
      <w:r>
        <w:t xml:space="preserve">3.4. Use Phase Data (Scope 3, Category 11 - Use of Sold Products)</w:t>
      </w:r>
    </w:p>
    <w:p>
      <w:pPr>
        <w:numPr>
          <w:ilvl w:val="0"/>
          <w:numId w:val="1005"/>
        </w:numPr>
        <w:pStyle w:val="Compact"/>
      </w:pPr>
      <w:r>
        <w:rPr>
          <w:bCs/>
          <w:b/>
        </w:rPr>
        <w:t xml:space="preserve">Product Lifespan (pdjhienvxp):</w:t>
      </w:r>
      <w:r>
        <w:t xml:space="preserve"> </w:t>
      </w:r>
      <w:r>
        <w:t xml:space="preserve">5 years</w:t>
      </w:r>
    </w:p>
    <w:p>
      <w:pPr>
        <w:numPr>
          <w:ilvl w:val="0"/>
          <w:numId w:val="1005"/>
        </w:numPr>
        <w:pStyle w:val="Compact"/>
      </w:pPr>
      <w:r>
        <w:rPr>
          <w:bCs/>
          <w:b/>
        </w:rPr>
        <w:t xml:space="preserve">Energy Consumption in Use (krkfmqimov):</w:t>
      </w:r>
      <w:r>
        <w:t xml:space="preserve"> </w:t>
      </w:r>
      <w:r>
        <w:t xml:space="preserve">10 kWh/year</w:t>
      </w:r>
    </w:p>
    <w:p>
      <w:pPr>
        <w:numPr>
          <w:ilvl w:val="0"/>
          <w:numId w:val="1005"/>
        </w:numPr>
        <w:pStyle w:val="Compact"/>
      </w:pPr>
      <w:r>
        <w:rPr>
          <w:bCs/>
          <w:b/>
        </w:rPr>
        <w:t xml:space="preserve">Assumed Grid Emission Factor for Use (global average relevant for consumers):</w:t>
      </w:r>
      <w:r>
        <w:t xml:space="preserve"> </w:t>
      </w:r>
      <w:r>
        <w:t xml:space="preserve">0.4 kg CO2e/kWh (a conservative global average, as use phase location can vary. If specific consumer market data were available, a more precise factor would be used.)</w:t>
      </w:r>
    </w:p>
    <w:bookmarkEnd w:id="27"/>
    <w:bookmarkStart w:id="28" w:name="Xf14e5116da2ea1973e56f9fea508cdaa44f663b"/>
    <w:p>
      <w:pPr>
        <w:pStyle w:val="Heading3"/>
      </w:pPr>
      <w:r>
        <w:t xml:space="preserve">3.5. End-of-Life (EoL) Scenarios (Scope 3, Category 12 - End-of-Life Treatment of Sold Products)</w:t>
      </w:r>
    </w:p>
    <w:p>
      <w:pPr>
        <w:numPr>
          <w:ilvl w:val="0"/>
          <w:numId w:val="1006"/>
        </w:numPr>
        <w:pStyle w:val="Compact"/>
      </w:pPr>
      <w:r>
        <w:rPr>
          <w:bCs/>
          <w:b/>
        </w:rPr>
        <w:t xml:space="preserve">Recyclability Percentage (kqevovfxpd):</w:t>
      </w:r>
      <w:r>
        <w:t xml:space="preserve"> </w:t>
      </w:r>
      <w:r>
        <w:t xml:space="preserve">70%</w:t>
      </w:r>
    </w:p>
    <w:p>
      <w:pPr>
        <w:numPr>
          <w:ilvl w:val="0"/>
          <w:numId w:val="1006"/>
        </w:numPr>
        <w:pStyle w:val="Compact"/>
      </w:pPr>
      <w:r>
        <w:rPr>
          <w:bCs/>
          <w:b/>
        </w:rPr>
        <w:t xml:space="preserve">Circular/Take-back Programs (zdqpnjekrj):</w:t>
      </w:r>
      <w:r>
        <w:t xml:space="preserve"> </w:t>
      </w:r>
      <w:r>
        <w:t xml:space="preserve">ytqqmxddqu operates a voluntary take-back program in key European markets, achieving a 15% collection rate for end-of-life products, which are then channeled into established recycling streams. This contributes to the overall recyclability percentage and potential avoided emissions.</w:t>
      </w:r>
    </w:p>
    <w:p>
      <w:pPr>
        <w:numPr>
          <w:ilvl w:val="0"/>
          <w:numId w:val="1006"/>
        </w:numPr>
        <w:pStyle w:val="Compact"/>
      </w:pPr>
      <w:r>
        <w:rPr>
          <w:bCs/>
          <w:b/>
        </w:rPr>
        <w:t xml:space="preserve">Assumed Virgin Material Replacement Factor:</w:t>
      </w:r>
      <w:r>
        <w:t xml:space="preserve"> </w:t>
      </w:r>
      <w:r>
        <w:t xml:space="preserve">For recycled materials, an assumed 50% avoided emission credit for the portion that is effectively recycled (i.e., 70% recyclability * 15% collection for take-back program = ~10.5% effective recycling through company program, plus general recycling rates). For simplicity in this high-level analysis, we\'ll apply a credit based on the overall recyclability percentage, assuming effective recycling infrastructure for the 70%. We\'ll assume a 50% avoided impact for the recycled portion of materials.</w:t>
      </w:r>
    </w:p>
    <w:p>
      <w:pPr>
        <w:numPr>
          <w:ilvl w:val="0"/>
          <w:numId w:val="1006"/>
        </w:numPr>
        <w:pStyle w:val="Compact"/>
      </w:pPr>
      <w:r>
        <w:rPr>
          <w:bCs/>
          <w:b/>
        </w:rPr>
        <w:t xml:space="preserve">Disposal (Landfill/Incineration):</w:t>
      </w:r>
      <w:r>
        <w:t xml:space="preserve"> </w:t>
      </w:r>
      <w:r>
        <w:t xml:space="preserve">For the remaining 30% not recycled, a general emission factor for waste disposal will be applied, e.g., 0.1 kg CO2e/kg of product for landfill/incineration.</w:t>
      </w:r>
    </w:p>
    <w:p>
      <w:pPr>
        <w:pStyle w:val="FirstParagraph"/>
      </w:pPr>
      <w:r>
        <w:rPr>
          <w:bCs/>
          <w:b/>
        </w:rPr>
        <w:t xml:space="preserve">Note on Scope 3 Coverage:</w:t>
      </w:r>
      <w:r>
        <w:t xml:space="preserve"> </w:t>
      </w:r>
      <w:r>
        <w:t xml:space="preserve">This analysis aims for at least 95% coverage for Scope 3 emissions by incorporating detailed material data, upstream and downstream transportation, the use phase, and end-of-life scenarios. Where specific primary data was unavailable, representative industry averages and conservative estimates have been used and clearly stated.</w:t>
      </w:r>
    </w:p>
    <w:p>
      <w:r>
        <w:pict>
          <v:rect style="width:0;height:1.5pt" o:hralign="center" o:hrstd="t" o:hr="t"/>
        </w:pict>
      </w:r>
    </w:p>
    <w:bookmarkEnd w:id="28"/>
    <w:bookmarkEnd w:id="29"/>
    <w:bookmarkStart w:id="38" w:name="emissions-calculation-co2e"/>
    <w:p>
      <w:pPr>
        <w:pStyle w:val="Heading2"/>
      </w:pPr>
      <w:r>
        <w:t xml:space="preserve">4. Emissions Calculation (CO2e)</w:t>
      </w:r>
    </w:p>
    <w:bookmarkStart w:id="30" w:name="scope-1-emissions-direct-emissions"/>
    <w:p>
      <w:pPr>
        <w:pStyle w:val="Heading3"/>
      </w:pPr>
      <w:r>
        <w:t xml:space="preserve">4.1. Scope 1 Emissions (Direct Emissions)</w:t>
      </w:r>
    </w:p>
    <w:p>
      <w:pPr>
        <w:pStyle w:val="FirstParagraph"/>
      </w:pPr>
      <w:r>
        <w:t xml:space="preserve">Based on the provided parameters, the system boundary is "factory_gate", and the production country is China. Scope 1 emissions would typically include direct fuel combustion in owned or controlled factory equipment (e.g., boilers, company vehicles). Given the provided data focuses on energy intensity and renewable energy usage (which primarily impact Scope 2 for purchased electricity), and the `factory_gate` boundary often implies purchased energy for manufacturing. Without specific fuel consumption data for direct operations, Scope 1 is considered minimal for this product-level analysis, primarily covered by the overall energy footprint.</w:t>
      </w:r>
    </w:p>
    <w:p>
      <w:pPr>
        <w:pStyle w:val="BodyText"/>
      </w:pPr>
      <w:r>
        <w:rPr>
          <w:bCs/>
          <w:b/>
        </w:rPr>
        <w:t xml:space="preserve">Estimated Scope 1 Emissions:</w:t>
      </w:r>
      <w:r>
        <w:t xml:space="preserve"> </w:t>
      </w:r>
      <w:r>
        <w:t xml:space="preserve">0.0 kg CO2e (assumed negligible for this product-specific analysis without direct fuel combustion data).</w:t>
      </w:r>
    </w:p>
    <w:bookmarkEnd w:id="30"/>
    <w:bookmarkStart w:id="31" w:name="Xdcb69c89a2d5b7d56bbdc01f79a116e1def7079"/>
    <w:p>
      <w:pPr>
        <w:pStyle w:val="Heading3"/>
      </w:pPr>
      <w:r>
        <w:t xml:space="preserve">4.2. Scope 2 Emissions (Purchased Electricity for Production)</w:t>
      </w:r>
    </w:p>
    <w:p>
      <w:pPr>
        <w:numPr>
          <w:ilvl w:val="0"/>
          <w:numId w:val="1007"/>
        </w:numPr>
        <w:pStyle w:val="Compact"/>
      </w:pPr>
      <w:r>
        <w:t xml:space="preserve">Total Energy Consumed: 5 kWh/unit</w:t>
      </w:r>
    </w:p>
    <w:p>
      <w:pPr>
        <w:numPr>
          <w:ilvl w:val="0"/>
          <w:numId w:val="1007"/>
        </w:numPr>
        <w:pStyle w:val="Compact"/>
      </w:pPr>
      <w:r>
        <w:t xml:space="preserve">Non-Renewable Energy Portion: 5 kWh/unit * (1 - 0.30) = 3.5 kWh/unit</w:t>
      </w:r>
    </w:p>
    <w:p>
      <w:pPr>
        <w:numPr>
          <w:ilvl w:val="0"/>
          <w:numId w:val="1007"/>
        </w:numPr>
        <w:pStyle w:val="Compact"/>
      </w:pPr>
      <w:r>
        <w:t xml:space="preserve">Renewable Energy Portion: 5 kWh/unit * 0.30 = 1.5 kWh/unit</w:t>
      </w:r>
    </w:p>
    <w:p>
      <w:pPr>
        <w:numPr>
          <w:ilvl w:val="0"/>
          <w:numId w:val="1007"/>
        </w:numPr>
        <w:pStyle w:val="Compact"/>
      </w:pPr>
      <w:r>
        <w:t xml:space="preserve">Emissions from Non-Renewable Energy: 3.5 kWh/unit * 0.7 kg CO2e/kWh = 2.45 kg CO2e/unit</w:t>
      </w:r>
    </w:p>
    <w:p>
      <w:pPr>
        <w:numPr>
          <w:ilvl w:val="0"/>
          <w:numId w:val="1007"/>
        </w:numPr>
        <w:pStyle w:val="Compact"/>
      </w:pPr>
      <w:r>
        <w:t xml:space="preserve">Emissions from Renewable Energy: 1.5 kWh/unit * 0.0 kg CO2e/kWh = 0.0 kg CO2e/unit</w:t>
      </w:r>
    </w:p>
    <w:p>
      <w:pPr>
        <w:pStyle w:val="FirstParagraph"/>
      </w:pPr>
      <w:r>
        <w:rPr>
          <w:bCs/>
          <w:b/>
        </w:rPr>
        <w:t xml:space="preserve">Total Scope 2 Emissions:</w:t>
      </w:r>
      <w:r>
        <w:t xml:space="preserve"> </w:t>
      </w:r>
      <w:r>
        <w:t xml:space="preserve">2.45 kg CO2e/unit</w:t>
      </w:r>
    </w:p>
    <w:bookmarkEnd w:id="31"/>
    <w:bookmarkStart w:id="37" w:name="scope-3-emissions-value-chain-emissions"/>
    <w:p>
      <w:pPr>
        <w:pStyle w:val="Heading3"/>
      </w:pPr>
      <w:r>
        <w:t xml:space="preserve">4.3. Scope 3 Emissions (Value Chain Emissions)</w:t>
      </w:r>
    </w:p>
    <w:bookmarkStart w:id="32" w:name="Xab9729a0caae076ca89f2f71668734f92723cf2"/>
    <w:p>
      <w:pPr>
        <w:pStyle w:val="Heading4"/>
      </w:pPr>
      <w:r>
        <w:t xml:space="preserve">4.3.1. Category 1: Purchased Goods and Services (Materials)</w:t>
      </w:r>
    </w:p>
    <w:p>
      <w:pPr>
        <w:pStyle w:val="FirstParagraph"/>
      </w:pPr>
      <w:r>
        <w:t xml:space="preserve">As per the provided BOM, the \'Total Carbon\' values represent the upstream emissions of materials.</w:t>
      </w:r>
    </w:p>
    <w:p>
      <w:pPr>
        <w:pStyle w:val="BodyText"/>
      </w:pPr>
      <w:r>
        <w:rPr>
          <w:bCs/>
          <w:b/>
        </w:rPr>
        <w:t xml:space="preserve">Total Emissions (Materials):</w:t>
      </w:r>
      <w:r>
        <w:t xml:space="preserve"> </w:t>
      </w:r>
      <w:r>
        <w:t xml:space="preserve">8.1 kg CO2e/unit</w:t>
      </w:r>
    </w:p>
    <w:bookmarkEnd w:id="32"/>
    <w:bookmarkStart w:id="33" w:name="X4162f61e82110de803cfe8ae24c02618f42b1ba"/>
    <w:p>
      <w:pPr>
        <w:pStyle w:val="Heading4"/>
      </w:pPr>
      <w:r>
        <w:t xml:space="preserve">4.3.2. Category 4: Upstream Transportation and Distribution (to factory gate)</w:t>
      </w:r>
    </w:p>
    <w:p>
      <w:pPr>
        <w:numPr>
          <w:ilvl w:val="0"/>
          <w:numId w:val="1008"/>
        </w:numPr>
        <w:pStyle w:val="Compact"/>
      </w:pPr>
      <w:r>
        <w:t xml:space="preserve">Assumed Product Weight for transport: 1 kg/unit</w:t>
      </w:r>
    </w:p>
    <w:p>
      <w:pPr>
        <w:numPr>
          <w:ilvl w:val="0"/>
          <w:numId w:val="1008"/>
        </w:numPr>
        <w:pStyle w:val="Compact"/>
      </w:pPr>
      <w:r>
        <w:t xml:space="preserve">Main Transport Distance: 8000 km</w:t>
      </w:r>
    </w:p>
    <w:p>
      <w:pPr>
        <w:numPr>
          <w:ilvl w:val="0"/>
          <w:numId w:val="1008"/>
        </w:numPr>
        <w:pStyle w:val="Compact"/>
      </w:pPr>
      <w:r>
        <w:t xml:space="preserve">Main Transport Mode: Ocean Freight</w:t>
      </w:r>
    </w:p>
    <w:p>
      <w:pPr>
        <w:numPr>
          <w:ilvl w:val="0"/>
          <w:numId w:val="1008"/>
        </w:numPr>
        <w:pStyle w:val="Compact"/>
      </w:pPr>
      <w:r>
        <w:t xml:space="preserve">Emissions from Ocean Freight: 1 kg/unit * 8000 km * 0.01 kg CO2e/tonne-km (or 0.00001 kg CO2e/kg-km) = 0.08 kg CO2e/unit</w:t>
      </w:r>
    </w:p>
    <w:p>
      <w:pPr>
        <w:numPr>
          <w:ilvl w:val="0"/>
          <w:numId w:val="1008"/>
        </w:numPr>
        <w:pStyle w:val="Compact"/>
      </w:pPr>
      <w:r>
        <w:t xml:space="preserve">Local Road Freight (Estimated 500 km average): 1 kg/unit * 500 km * 0.08 kg CO2e/tonne-km (or 0.00008 kg CO2e/kg-km) = 0.04 kg CO2e/unit</w:t>
      </w:r>
    </w:p>
    <w:p>
      <w:pPr>
        <w:pStyle w:val="FirstParagraph"/>
      </w:pPr>
      <w:r>
        <w:rPr>
          <w:bCs/>
          <w:b/>
        </w:rPr>
        <w:t xml:space="preserve">Total Upstream Transport Emissions:</w:t>
      </w:r>
      <w:r>
        <w:t xml:space="preserve"> </w:t>
      </w:r>
      <w:r>
        <w:t xml:space="preserve">0.08 + 0.04 = 0.12 kg CO2e/unit</w:t>
      </w:r>
    </w:p>
    <w:bookmarkEnd w:id="33"/>
    <w:bookmarkStart w:id="34" w:name="Xa8842b6fc1eac6f0337d5452b48d2d48b4117e0"/>
    <w:p>
      <w:pPr>
        <w:pStyle w:val="Heading4"/>
      </w:pPr>
      <w:r>
        <w:t xml:space="preserve">4.3.3. Category 9: Downstream Transportation and Distribution (from factory to customer)</w:t>
      </w:r>
    </w:p>
    <w:p>
      <w:pPr>
        <w:numPr>
          <w:ilvl w:val="0"/>
          <w:numId w:val="1009"/>
        </w:numPr>
        <w:pStyle w:val="Compact"/>
      </w:pPr>
      <w:r>
        <w:t xml:space="preserve">Last-Mile Delivery Channel: Standard Parcel Service</w:t>
      </w:r>
    </w:p>
    <w:p>
      <w:pPr>
        <w:numPr>
          <w:ilvl w:val="0"/>
          <w:numId w:val="1009"/>
        </w:numPr>
        <w:pStyle w:val="Compact"/>
      </w:pPr>
      <w:r>
        <w:t xml:space="preserve">Emission Factor: 0.18 kg CO2e/unit (average for courier delivery)</w:t>
      </w:r>
    </w:p>
    <w:p>
      <w:pPr>
        <w:pStyle w:val="FirstParagraph"/>
      </w:pPr>
      <w:r>
        <w:rPr>
          <w:bCs/>
          <w:b/>
        </w:rPr>
        <w:t xml:space="preserve">Total Downstream Transport Emissions:</w:t>
      </w:r>
      <w:r>
        <w:t xml:space="preserve"> </w:t>
      </w:r>
      <w:r>
        <w:t xml:space="preserve">0.18 kg CO2e/unit</w:t>
      </w:r>
    </w:p>
    <w:bookmarkEnd w:id="34"/>
    <w:bookmarkStart w:id="35" w:name="category-11-use-of-sold-products"/>
    <w:p>
      <w:pPr>
        <w:pStyle w:val="Heading4"/>
      </w:pPr>
      <w:r>
        <w:t xml:space="preserve">4.3.4. Category 11: Use of Sold Products</w:t>
      </w:r>
    </w:p>
    <w:p>
      <w:pPr>
        <w:numPr>
          <w:ilvl w:val="0"/>
          <w:numId w:val="1010"/>
        </w:numPr>
        <w:pStyle w:val="Compact"/>
      </w:pPr>
      <w:r>
        <w:t xml:space="preserve">Annual Energy Consumption: 10 kWh/year</w:t>
      </w:r>
    </w:p>
    <w:p>
      <w:pPr>
        <w:numPr>
          <w:ilvl w:val="0"/>
          <w:numId w:val="1010"/>
        </w:numPr>
        <w:pStyle w:val="Compact"/>
      </w:pPr>
      <w:r>
        <w:t xml:space="preserve">Product Lifespan: 5 years</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Assumed Grid Emission Factor for Use: 0.4 kg CO2e/kWh</w:t>
      </w:r>
    </w:p>
    <w:p>
      <w:pPr>
        <w:pStyle w:val="FirstParagraph"/>
      </w:pPr>
      <w:r>
        <w:rPr>
          <w:bCs/>
          <w:b/>
        </w:rPr>
        <w:t xml:space="preserve">Total Use Phase Emissions:</w:t>
      </w:r>
      <w:r>
        <w:t xml:space="preserve"> </w:t>
      </w:r>
      <w:r>
        <w:t xml:space="preserve">50 kWh/unit * 0.4 kg CO2e/kWh = 20.0 kg CO2e/unit</w:t>
      </w:r>
    </w:p>
    <w:bookmarkEnd w:id="35"/>
    <w:bookmarkStart w:id="36" w:name="X9f66eef2700632e081dfe139021cb724ffcd2c5"/>
    <w:p>
      <w:pPr>
        <w:pStyle w:val="Heading4"/>
      </w:pPr>
      <w:r>
        <w:t xml:space="preserve">4.3.5. Category 12: End-of-Life Treatment of Sold Products</w:t>
      </w:r>
    </w:p>
    <w:p>
      <w:pPr>
        <w:numPr>
          <w:ilvl w:val="0"/>
          <w:numId w:val="1011"/>
        </w:numPr>
        <w:pStyle w:val="Compact"/>
      </w:pPr>
      <w:r>
        <w:t xml:space="preserve">Product Weight at EoL (assuming materials weight): 0.75 kg (from BOM)</w:t>
      </w:r>
    </w:p>
    <w:p>
      <w:pPr>
        <w:numPr>
          <w:ilvl w:val="0"/>
          <w:numId w:val="1011"/>
        </w:numPr>
        <w:pStyle w:val="Compact"/>
      </w:pPr>
      <w:r>
        <w:t xml:space="preserve">Recycled Portion: 0.75 kg * 70% = 0.525 kg</w:t>
      </w:r>
    </w:p>
    <w:p>
      <w:pPr>
        <w:numPr>
          <w:ilvl w:val="0"/>
          <w:numId w:val="1011"/>
        </w:numPr>
        <w:pStyle w:val="Compact"/>
      </w:pPr>
      <w:r>
        <w:t xml:space="preserve">Disposed Portion (Landfill/Incineration): 0.75 kg * 30% = 0.225 kg</w:t>
      </w:r>
    </w:p>
    <w:p>
      <w:pPr>
        <w:numPr>
          <w:ilvl w:val="0"/>
          <w:numId w:val="1011"/>
        </w:numPr>
        <w:pStyle w:val="Compact"/>
      </w:pPr>
      <w:r>
        <w:t xml:space="preserve">Avoided Emissions from Recycling: Assuming a 50% avoided impact factor for the effectively recycled portion. This represents a credit for replacing virgin materials.</w:t>
      </w:r>
    </w:p>
    <w:p>
      <w:pPr>
        <w:numPr>
          <w:ilvl w:val="1"/>
          <w:numId w:val="1012"/>
        </w:numPr>
        <w:pStyle w:val="Compact"/>
      </w:pPr>
      <w:r>
        <w:t xml:space="preserve">Total Material Carbon Footprint (from BOM): 8.1 kg CO2e</w:t>
      </w:r>
    </w:p>
    <w:p>
      <w:pPr>
        <w:numPr>
          <w:ilvl w:val="1"/>
          <w:numId w:val="1012"/>
        </w:numPr>
        <w:pStyle w:val="Compact"/>
      </w:pPr>
      <w:r>
        <w:t xml:space="preserve">Avoided Emissions: 8.1 kg CO2e * 0.70 (recyclability) * 0.50 (avoided impact factor) = -2.835 kg CO2e/unit</w:t>
      </w:r>
    </w:p>
    <w:p>
      <w:pPr>
        <w:numPr>
          <w:ilvl w:val="0"/>
          <w:numId w:val="1011"/>
        </w:numPr>
        <w:pStyle w:val="Compact"/>
      </w:pPr>
      <w:r>
        <w:t xml:space="preserve">Emissions from Disposal: Assuming a general disposal factor of 0.1 kg CO2e/kg for the unrecycled portion.</w:t>
      </w:r>
    </w:p>
    <w:p>
      <w:pPr>
        <w:numPr>
          <w:ilvl w:val="1"/>
          <w:numId w:val="1013"/>
        </w:numPr>
        <w:pStyle w:val="Compact"/>
      </w:pPr>
      <w:r>
        <w:t xml:space="preserve">Disposal Emissions: 0.225 kg * 0.1 kg CO2e/kg = 0.0225 kg CO2e/unit</w:t>
      </w:r>
    </w:p>
    <w:p>
      <w:pPr>
        <w:numPr>
          <w:ilvl w:val="0"/>
          <w:numId w:val="1011"/>
        </w:numPr>
        <w:pStyle w:val="Compact"/>
      </w:pPr>
      <w:r>
        <w:rPr>
          <w:bCs/>
          <w:b/>
        </w:rPr>
        <w:t xml:space="preserve">Circular/Take-back Programs:</w:t>
      </w:r>
      <w:r>
        <w:t xml:space="preserve"> </w:t>
      </w:r>
      <w:r>
        <w:t xml:space="preserve">ytqqmxddqu\'s take-back program enhances collection and ensures proper recycling for a portion of products, reinforcing the recyclability impact. The 15% collection rate under the program contributes to the 70% recyclability overall target, improving the circularity and ensuring the assumed recycling benefits are realized for collected units.</w:t>
      </w:r>
    </w:p>
    <w:p>
      <w:pPr>
        <w:pStyle w:val="FirstParagraph"/>
      </w:pPr>
      <w:r>
        <w:rPr>
          <w:bCs/>
          <w:b/>
        </w:rPr>
        <w:t xml:space="preserve">Total End-of-Life Emissions:</w:t>
      </w:r>
      <w:r>
        <w:t xml:space="preserve"> </w:t>
      </w:r>
      <w:r>
        <w:t xml:space="preserve">0.0225 kg CO2e/unit (Disposal) - 2.835 kg CO2e/unit (Avoided Emissions) = -2.8125 kg CO2e/unit</w:t>
      </w:r>
    </w:p>
    <w:p>
      <w:r>
        <w:pict>
          <v:rect style="width:0;height:1.5pt" o:hralign="center" o:hrstd="t" o:hr="t"/>
        </w:pict>
      </w:r>
    </w:p>
    <w:bookmarkEnd w:id="36"/>
    <w:bookmarkEnd w:id="37"/>
    <w:bookmarkEnd w:id="38"/>
    <w:bookmarkStart w:id="41" w:name="overall-product-carbon-footprint-summary"/>
    <w:p>
      <w:pPr>
        <w:pStyle w:val="Heading2"/>
      </w:pPr>
      <w:r>
        <w:t xml:space="preserve">5. Overall Product Carbon Footprint Summary</w:t>
      </w:r>
    </w:p>
    <w:p>
      <w:pPr>
        <w:pStyle w:val="FirstParagraph"/>
      </w:pPr>
      <w:r>
        <w:t xml:space="preserve">The total Product Carbon Footprint for one functional unit of kpmphtglsv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(e.g., owned facilities)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2.45</w:t>
            </w:r>
          </w:p>
        </w:tc>
        <w:tc>
          <w:tcPr/>
          <w:p>
            <w:pPr>
              <w:pStyle w:val="Compact"/>
              <w:jc w:val="left"/>
            </w:pPr>
            <w:r>
              <w:t xml:space="preserve">6.8%</w:t>
            </w:r>
          </w:p>
        </w:tc>
      </w:tr>
      <w:tr>
        <w:tc>
          <w:tcPr/>
          <w:p>
            <w:pPr>
              <w:pStyle w:val="Compact"/>
              <w:jc w:val="left"/>
            </w:pPr>
            <w:r>
              <w:rPr>
                <w:bCs/>
                <w:b/>
              </w:rPr>
              <w:t xml:space="preserve">Scope 3 - Category 1</w:t>
            </w:r>
          </w:p>
        </w:tc>
        <w:tc>
          <w:tcPr/>
          <w:p>
            <w:pPr>
              <w:pStyle w:val="Compact"/>
              <w:jc w:val="left"/>
            </w:pPr>
            <w:r>
              <w:t xml:space="preserve">Purchased Goods &amp; Services (Materials)</w:t>
            </w:r>
          </w:p>
        </w:tc>
        <w:tc>
          <w:tcPr/>
          <w:p>
            <w:pPr>
              <w:pStyle w:val="Compact"/>
              <w:jc w:val="left"/>
            </w:pPr>
            <w:r>
              <w:t xml:space="preserve">8.10</w:t>
            </w:r>
          </w:p>
        </w:tc>
        <w:tc>
          <w:tcPr/>
          <w:p>
            <w:pPr>
              <w:pStyle w:val="Compact"/>
              <w:jc w:val="left"/>
            </w:pPr>
            <w:r>
              <w:t xml:space="preserve">22.5%</w:t>
            </w:r>
          </w:p>
        </w:tc>
      </w:tr>
      <w:tr>
        <w:tc>
          <w:tcPr/>
          <w:p>
            <w:pPr>
              <w:pStyle w:val="Compact"/>
              <w:jc w:val="left"/>
            </w:pPr>
            <w:r>
              <w:rPr>
                <w:bCs/>
                <w:b/>
              </w:rPr>
              <w:t xml:space="preserve">Scope 3 - Category 4</w:t>
            </w:r>
          </w:p>
        </w:tc>
        <w:tc>
          <w:tcPr/>
          <w:p>
            <w:pPr>
              <w:pStyle w:val="Compact"/>
              <w:jc w:val="left"/>
            </w:pPr>
            <w:r>
              <w:t xml:space="preserve">Upstream Transportation &amp; Distribution</w:t>
            </w:r>
          </w:p>
        </w:tc>
        <w:tc>
          <w:tcPr/>
          <w:p>
            <w:pPr>
              <w:pStyle w:val="Compact"/>
              <w:jc w:val="left"/>
            </w:pPr>
            <w:r>
              <w:t xml:space="preserve">0.12</w:t>
            </w:r>
          </w:p>
        </w:tc>
        <w:tc>
          <w:tcPr/>
          <w:p>
            <w:pPr>
              <w:pStyle w:val="Compact"/>
              <w:jc w:val="left"/>
            </w:pPr>
            <w:r>
              <w:t xml:space="preserve">0.3%</w:t>
            </w:r>
          </w:p>
        </w:tc>
      </w:tr>
      <w:tr>
        <w:tc>
          <w:tcPr/>
          <w:p>
            <w:pPr>
              <w:pStyle w:val="Compact"/>
              <w:jc w:val="left"/>
            </w:pPr>
            <w:r>
              <w:rPr>
                <w:bCs/>
                <w:b/>
              </w:rPr>
              <w:t xml:space="preserve">Scope 3 - Category 9</w:t>
            </w:r>
          </w:p>
        </w:tc>
        <w:tc>
          <w:tcPr/>
          <w:p>
            <w:pPr>
              <w:pStyle w:val="Compact"/>
              <w:jc w:val="left"/>
            </w:pPr>
            <w:r>
              <w:t xml:space="preserve">Downstream Transportation &amp; Distribution</w:t>
            </w:r>
          </w:p>
        </w:tc>
        <w:tc>
          <w:tcPr/>
          <w:p>
            <w:pPr>
              <w:pStyle w:val="Compact"/>
              <w:jc w:val="left"/>
            </w:pPr>
            <w:r>
              <w:t xml:space="preserve">0.18</w:t>
            </w:r>
          </w:p>
        </w:tc>
        <w:tc>
          <w:tcPr/>
          <w:p>
            <w:pPr>
              <w:pStyle w:val="Compact"/>
              <w:jc w:val="left"/>
            </w:pPr>
            <w:r>
              <w:t xml:space="preserve">0.5%</w:t>
            </w:r>
          </w:p>
        </w:tc>
      </w:tr>
      <w:tr>
        <w:tc>
          <w:tcPr/>
          <w:p>
            <w:pPr>
              <w:pStyle w:val="Compact"/>
              <w:jc w:val="left"/>
            </w:pPr>
            <w:r>
              <w:rPr>
                <w:bCs/>
                <w:b/>
              </w:rPr>
              <w:t xml:space="preserve">Scope 3 - Category 11</w:t>
            </w:r>
          </w:p>
        </w:tc>
        <w:tc>
          <w:tcPr/>
          <w:p>
            <w:pPr>
              <w:pStyle w:val="Compact"/>
              <w:jc w:val="left"/>
            </w:pPr>
            <w:r>
              <w:t xml:space="preserve">Use of Sold Products</w:t>
            </w:r>
          </w:p>
        </w:tc>
        <w:tc>
          <w:tcPr/>
          <w:p>
            <w:pPr>
              <w:pStyle w:val="Compact"/>
              <w:jc w:val="left"/>
            </w:pPr>
            <w:r>
              <w:t xml:space="preserve">20.00</w:t>
            </w:r>
          </w:p>
        </w:tc>
        <w:tc>
          <w:tcPr/>
          <w:p>
            <w:pPr>
              <w:pStyle w:val="Compact"/>
              <w:jc w:val="left"/>
            </w:pPr>
            <w:r>
              <w:t xml:space="preserve">55.6%</w:t>
            </w:r>
          </w:p>
        </w:tc>
      </w:tr>
      <w:tr>
        <w:tc>
          <w:tcPr/>
          <w:p>
            <w:pPr>
              <w:pStyle w:val="Compact"/>
              <w:jc w:val="left"/>
            </w:pPr>
            <w:r>
              <w:rPr>
                <w:bCs/>
                <w:b/>
              </w:rPr>
              <w:t xml:space="preserve">Scope 3 - Category 12</w:t>
            </w:r>
          </w:p>
        </w:tc>
        <w:tc>
          <w:tcPr/>
          <w:p>
            <w:pPr>
              <w:pStyle w:val="Compact"/>
              <w:jc w:val="left"/>
            </w:pPr>
            <w:r>
              <w:t xml:space="preserve">End-of-Life Treatment of Sold Products</w:t>
            </w:r>
          </w:p>
        </w:tc>
        <w:tc>
          <w:tcPr/>
          <w:p>
            <w:pPr>
              <w:pStyle w:val="Compact"/>
              <w:jc w:val="left"/>
            </w:pPr>
            <w:r>
              <w:t xml:space="preserve">-2.81</w:t>
            </w:r>
          </w:p>
        </w:tc>
        <w:tc>
          <w:tcPr/>
          <w:p>
            <w:pPr>
              <w:pStyle w:val="Compact"/>
              <w:jc w:val="left"/>
            </w:pPr>
            <w:r>
              <w:t xml:space="preserve">-7.8%</w:t>
            </w:r>
          </w:p>
        </w:tc>
      </w:tr>
      <w:tr>
        <w:tc>
          <w:tcPr>
            <w:gridSpan w:val="2"/>
          </w:tcPr>
          <w:p>
            <w:pPr>
              <w:pStyle w:val="Compact"/>
              <w:jc w:val="left"/>
            </w:pPr>
            <w:r>
              <w:rPr>
                <w:bCs/>
                <w:b/>
              </w:rPr>
              <w:t xml:space="preserve">TOTAL PRODUCT CARBON FOOTPRINT</w:t>
            </w:r>
          </w:p>
        </w:tc>
        <w:tc>
          <w:tcPr/>
          <w:p>
            <w:pPr>
              <w:pStyle w:val="Compact"/>
              <w:jc w:val="left"/>
            </w:pPr>
            <w:r>
              <w:rPr>
                <w:bCs/>
                <w:b/>
              </w:rPr>
              <w:t xml:space="preserve">36.04</w:t>
            </w:r>
          </w:p>
        </w:tc>
        <w:tc>
          <w:tcPr/>
          <w:p>
            <w:pPr>
              <w:pStyle w:val="Compact"/>
              <w:jc w:val="left"/>
            </w:pPr>
            <w:r>
              <w:rPr>
                <w:bCs/>
                <w:b/>
              </w:rPr>
              <w:t xml:space="preserve">100.0%</w:t>
            </w:r>
          </w:p>
        </w:tc>
      </w:tr>
    </w:tbl>
    <w:p>
      <w:pPr>
        <w:pStyle w:val="BodyText"/>
      </w:pPr>
      <w:r>
        <w:t xml:space="preserve">Note: The negative value in End-of-Life (Category 12) indicates net avoided emissions due to recycling, reflecting a circular economy benefit. This value reduces the overall footprint.</w:t>
      </w:r>
    </w:p>
    <w:bookmarkStart w:id="39" w:name="emission-hotspots-and-reliability"/>
    <w:p>
      <w:pPr>
        <w:pStyle w:val="Heading3"/>
      </w:pPr>
      <w:r>
        <w:t xml:space="preserve">5.1. Emission Hotspots and Reliability</w:t>
      </w:r>
    </w:p>
    <w:p>
      <w:pPr>
        <w:pStyle w:val="FirstParagraph"/>
      </w:pPr>
      <w:r>
        <w:t xml:space="preserve">The analysis identifies the \'Use of Sold Products\' (Scope 3, Category 11) as the most significant emission hotspot, accounting for approximately 55.6% of the total PCF. This is followed by \'Purchased Goods and Services\' (Scope 3, Category 1) at 22.5%, highlighting the embodied emissions in materials. Production energy (Scope 2) also contributes notably.</w:t>
      </w:r>
    </w:p>
    <w:p>
      <w:pPr>
        <w:pStyle w:val="BodyText"/>
      </w:pPr>
      <w:r>
        <w:t xml:space="preserve">The reliability of this report is high for material inputs, as detailed BOM data was used. Emission factors for energy and transport are based on robust industry averages and region-specific data where available. Assumptions regarding transport distances, use phase patterns, and recycling effectiveness introduce a degree of uncertainty, which is inherent in PCF analyses where complete primary data is not feasible across the entire value chain. The inclusion of the 2026 LSR Standard principles ensures that land-related emissions and removals, if significant for specific components or processes not explicitly detailed here, would be accounted for with more granular data.</w:t>
      </w:r>
    </w:p>
    <w:bookmarkEnd w:id="39"/>
    <w:bookmarkStart w:id="40" w:name="recommendations-for-ytqqmxddqu"/>
    <w:p>
      <w:pPr>
        <w:pStyle w:val="Heading3"/>
      </w:pPr>
      <w:r>
        <w:t xml:space="preserve">5.2. Recommendations for ytqqmxddqu</w:t>
      </w:r>
    </w:p>
    <w:p>
      <w:pPr>
        <w:numPr>
          <w:ilvl w:val="0"/>
          <w:numId w:val="1014"/>
        </w:numPr>
        <w:pStyle w:val="Compact"/>
      </w:pPr>
      <w:r>
        <w:rPr>
          <w:bCs/>
          <w:b/>
        </w:rPr>
        <w:t xml:space="preserve">Focus on Use Phase Optimization:</w:t>
      </w:r>
      <w:r>
        <w:t xml:space="preserve"> </w:t>
      </w:r>
      <w:r>
        <w:t xml:space="preserve">Investigate opportunities to reduce energy consumption during the product\'s lifespan. This could involve improving energy efficiency, exploring lower-carbon energy options for consumers (e.g., through product design for compatibility with renewables), or extending product durability to amortize embodied emissions over a longer period.</w:t>
      </w:r>
    </w:p>
    <w:p>
      <w:pPr>
        <w:numPr>
          <w:ilvl w:val="0"/>
          <w:numId w:val="1014"/>
        </w:numPr>
        <w:pStyle w:val="Compact"/>
      </w:pPr>
      <w:r>
        <w:rPr>
          <w:bCs/>
          <w:b/>
        </w:rPr>
        <w:t xml:space="preserve">Material Decarbonization:</w:t>
      </w:r>
      <w:r>
        <w:t xml:space="preserve"> </w:t>
      </w:r>
      <w:r>
        <w:t xml:space="preserve">Explore alternative, lower-carbon materials for the \'Main Casing\', \'Circuit Board\', and \'Battery Pack\' components, which represent the largest material-related impacts. Engage with suppliers to understand their decarbonization efforts.</w:t>
      </w:r>
    </w:p>
    <w:p>
      <w:pPr>
        <w:numPr>
          <w:ilvl w:val="0"/>
          <w:numId w:val="1014"/>
        </w:numPr>
        <w:pStyle w:val="Compact"/>
      </w:pPr>
      <w:r>
        <w:rPr>
          <w:bCs/>
          <w:b/>
        </w:rPr>
        <w:t xml:space="preserve">Enhance Circularity:</w:t>
      </w:r>
      <w:r>
        <w:t xml:space="preserve"> </w:t>
      </w:r>
      <w:r>
        <w:t xml:space="preserve">Continue to strengthen circular economy initiatives, particularly the take-back program. Increase collection rates and explore innovative recycling technologies to maximize avoided emissions from virgin material production.</w:t>
      </w:r>
    </w:p>
    <w:p>
      <w:pPr>
        <w:numPr>
          <w:ilvl w:val="0"/>
          <w:numId w:val="1014"/>
        </w:numPr>
        <w:pStyle w:val="Compact"/>
      </w:pPr>
      <w:r>
        <w:rPr>
          <w:bCs/>
          <w:b/>
        </w:rPr>
        <w:t xml:space="preserve">Supplier Engagement:</w:t>
      </w:r>
      <w:r>
        <w:t xml:space="preserve"> </w:t>
      </w:r>
      <w:r>
        <w:t xml:space="preserve">Work closely with upstream suppliers (Europe-focused supply chain) to collect more primary data on their manufacturing processes and transportation, which could further refine Scope 3 Category 1 and 4 calculations and identify specific reduction opportunities.</w:t>
      </w:r>
    </w:p>
    <w:p>
      <w:pPr>
        <w:numPr>
          <w:ilvl w:val="0"/>
          <w:numId w:val="1014"/>
        </w:numPr>
        <w:pStyle w:val="Compact"/>
      </w:pPr>
      <w:r>
        <w:rPr>
          <w:bCs/>
          <w:b/>
        </w:rPr>
        <w:t xml:space="preserve">Data Refinement:</w:t>
      </w:r>
      <w:r>
        <w:t xml:space="preserve"> </w:t>
      </w:r>
      <w:r>
        <w:t xml:space="preserve">As the GHG Protocol\'s LSR Standard Guidance document becomes available in Q2 2026, conduct a deeper dive into any potentially significant land-related emissions or removals associated with raw material sourcing for kpmphtglsv.</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kpmphtglsv</dc:title>
  <dc:creator/>
  <dc:description>Detailed Product Carbon Footprint (PCF) analysis for kpmphtglsv, adhering to GHG Protocol and 2026 LSR update. Conducted by pwzonnvwzl for ytqqmxddqu.</dc:description>
  <dc:language>en</dc:language>
  <cp:keywords/>
  <dcterms:created xsi:type="dcterms:W3CDTF">2026-07-15T02:55:14Z</dcterms:created>
  <dcterms:modified xsi:type="dcterms:W3CDTF">2026-07-15T02:55:14Z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