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kozoommweo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kozoommweo</w:t>
      </w:r>
    </w:p>
    <w:p>
      <w:pPr>
        <w:pStyle w:val="BodyText"/>
      </w:pPr>
      <w:r>
        <w:rPr>
          <w:bCs/>
          <w:b/>
        </w:rPr>
        <w:t xml:space="preserve">Company Name:</w:t>
      </w:r>
      <w:r>
        <w:t xml:space="preserve"> </w:t>
      </w:r>
      <w:r>
        <w:t xml:space="preserve">epwoosqhgq</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neifquityj</w:t>
      </w:r>
    </w:p>
    <w:p>
      <w:pPr>
        <w:pStyle w:val="BodyText"/>
      </w:pPr>
      <w:r>
        <w:t xml:space="preserve">This report is generated based on available data and industry standards. While every effort has been made to ensure accuracy, the actual carbon footprint may vary based on specific operational details and evolving data sources.</w:t>
      </w:r>
    </w:p>
    <w:bookmarkEnd w:id="20"/>
    <w:bookmarkStart w:id="50" w:name="Xb716f4befdd9d2f828c35a7a7c87c83558f1411"/>
    <w:p>
      <w:pPr>
        <w:pStyle w:val="Heading1"/>
      </w:pPr>
      <w:r>
        <w:t xml:space="preserve">Product Carbon Footprint (PCF) Analysis Report for kozoommweo</w:t>
      </w:r>
    </w:p>
    <w:p>
      <w:pPr>
        <w:pStyle w:val="FirstParagraph"/>
      </w:pPr>
      <w:r>
        <w:rPr>
          <w:bCs/>
          <w:b/>
        </w:rPr>
        <w:t xml:space="preserve">Generated Date:</w:t>
      </w:r>
      <w:r>
        <w:t xml:space="preserve"> </w:t>
      </w:r>
      <w:r>
        <w:t xml:space="preserve">June 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kozoommweo</w:t>
      </w:r>
      <w:r>
        <w:t xml:space="preserve">, manufactured by</w:t>
      </w:r>
      <w:r>
        <w:t xml:space="preserve"> </w:t>
      </w:r>
      <w:r>
        <w:rPr>
          <w:bCs/>
          <w:b/>
        </w:rPr>
        <w:t xml:space="preserve">epwoosqhgq</w:t>
      </w:r>
      <w:r>
        <w:t xml:space="preserve">. The analysis was conducted by Senior Sustainability Consultant</w:t>
      </w:r>
      <w:r>
        <w:t xml:space="preserve"> </w:t>
      </w:r>
      <w:r>
        <w:rPr>
          <w:bCs/>
          <w:b/>
        </w:rPr>
        <w:t xml:space="preserve">neifquityj</w:t>
      </w:r>
      <w:r>
        <w:t xml:space="preserve">, adhering strictly to the GHG Protocol standards, including the latest 2026 Land Sector and Removals (LSR) update and the stringent 95% Scope 3 coverage requirements. The PCF quantifies greenhouse gas emissions across the product\'s lifecycle from raw material extraction to end-of-life, providing critical insights into environmental impacts and identifying key hotspots for mitigation efforts.</w:t>
      </w:r>
    </w:p>
    <w:bookmarkEnd w:id="21"/>
    <w:bookmarkStart w:id="22" w:name="introduction"/>
    <w:p>
      <w:pPr>
        <w:pStyle w:val="Heading2"/>
      </w:pPr>
      <w:r>
        <w:t xml:space="preserve">Introduction</w:t>
      </w:r>
    </w:p>
    <w:p>
      <w:pPr>
        <w:pStyle w:val="FirstParagraph"/>
      </w:pPr>
      <w:r>
        <w:t xml:space="preserve">The growing global imperative to address climate change necessitates a comprehensive understanding of product environmental impacts. A Product Carbon Footprint (PCF) provides a robust measure of these impacts, supporting informed decision-making for sustainable product design, supply chain optimization, and transparent environmental reporting. This analysis focuses on the product</w:t>
      </w:r>
      <w:r>
        <w:t xml:space="preserve"> </w:t>
      </w:r>
      <w:r>
        <w:rPr>
          <w:bCs/>
          <w:b/>
        </w:rPr>
        <w:t xml:space="preserve">kozoommweo</w:t>
      </w:r>
      <w:r>
        <w:t xml:space="preserve">, detailing its carbon emissions throughout its lifecycle.</w:t>
      </w:r>
    </w:p>
    <w:p>
      <w:pPr>
        <w:numPr>
          <w:ilvl w:val="0"/>
          <w:numId w:val="1001"/>
        </w:numPr>
        <w:pStyle w:val="Compact"/>
      </w:pPr>
      <w:r>
        <w:rPr>
          <w:bCs/>
          <w:b/>
        </w:rPr>
        <w:t xml:space="preserve">Company Name:</w:t>
      </w:r>
      <w:r>
        <w:t xml:space="preserve"> </w:t>
      </w:r>
      <w:r>
        <w:t xml:space="preserve">epwoosqhgq</w:t>
      </w:r>
    </w:p>
    <w:p>
      <w:pPr>
        <w:numPr>
          <w:ilvl w:val="0"/>
          <w:numId w:val="1001"/>
        </w:numPr>
        <w:pStyle w:val="Compact"/>
      </w:pPr>
      <w:r>
        <w:rPr>
          <w:bCs/>
          <w:b/>
        </w:rPr>
        <w:t xml:space="preserve">Senior Sustainability Consultant:</w:t>
      </w:r>
      <w:r>
        <w:t xml:space="preserve"> </w:t>
      </w:r>
      <w:r>
        <w:t xml:space="preserve">neifquityj</w:t>
      </w:r>
    </w:p>
    <w:p>
      <w:pPr>
        <w:numPr>
          <w:ilvl w:val="0"/>
          <w:numId w:val="1001"/>
        </w:numPr>
        <w:pStyle w:val="Compact"/>
      </w:pPr>
      <w:r>
        <w:rPr>
          <w:bCs/>
          <w:b/>
        </w:rPr>
        <w:t xml:space="preserve">Product Name:</w:t>
      </w:r>
      <w:r>
        <w:t xml:space="preserve"> </w:t>
      </w:r>
      <w:r>
        <w:t xml:space="preserve">kozoommweo</w:t>
      </w:r>
    </w:p>
    <w:p>
      <w:pPr>
        <w:numPr>
          <w:ilvl w:val="0"/>
          <w:numId w:val="1001"/>
        </w:numPr>
        <w:pStyle w:val="Compact"/>
      </w:pPr>
      <w:r>
        <w:rPr>
          <w:bCs/>
          <w:b/>
        </w:rPr>
        <w:t xml:space="preserve">Accounting Standard:</w:t>
      </w:r>
      <w:r>
        <w:t xml:space="preserve"> </w:t>
      </w:r>
      <w:r>
        <w:t xml:space="preserve">GHG Protocol</w:t>
      </w:r>
    </w:p>
    <w:p>
      <w:pPr>
        <w:numPr>
          <w:ilvl w:val="0"/>
          <w:numId w:val="1001"/>
        </w:numPr>
        <w:pStyle w:val="Compact"/>
      </w:pPr>
      <w:r>
        <w:rPr>
          <w:bCs/>
          <w:b/>
        </w:rPr>
        <w:t xml:space="preserve">Functional Unit:</w:t>
      </w:r>
      <w:r>
        <w:t xml:space="preserve"> </w:t>
      </w:r>
      <w:r>
        <w:t xml:space="preserve">1.0 unit</w:t>
      </w:r>
    </w:p>
    <w:p>
      <w:pPr>
        <w:numPr>
          <w:ilvl w:val="0"/>
          <w:numId w:val="1001"/>
        </w:numPr>
        <w:pStyle w:val="Compact"/>
      </w:pPr>
      <w:r>
        <w:rPr>
          <w:bCs/>
          <w:b/>
        </w:rPr>
        <w:t xml:space="preserve">System Boundary:</w:t>
      </w:r>
      <w:r>
        <w:t xml:space="preserve"> </w:t>
      </w:r>
      <w:r>
        <w:t xml:space="preserve">factory_gate (Cradle-to-Gate, with extended analysis for Use Phase and End-of-Life)</w:t>
      </w:r>
    </w:p>
    <w:p>
      <w:pPr>
        <w:numPr>
          <w:ilvl w:val="0"/>
          <w:numId w:val="1001"/>
        </w:numPr>
        <w:pStyle w:val="Compact"/>
      </w:pPr>
      <w:r>
        <w:rPr>
          <w:bCs/>
          <w:b/>
        </w:rPr>
        <w:t xml:space="preserve">Geographic Scope:</w:t>
      </w:r>
      <w:r>
        <w:t xml:space="preserve"> </w:t>
      </w:r>
      <w:r>
        <w:t xml:space="preserve">Final Production Country: China, Supply Chain Focus: Europe Focused</w:t>
      </w:r>
    </w:p>
    <w:p>
      <w:r>
        <w:pict>
          <v:rect style="width:0;height:1.5pt" o:hralign="center" o:hrstd="t" o:hr="t"/>
        </w:pict>
      </w:r>
    </w:p>
    <w:bookmarkEnd w:id="22"/>
    <w:bookmarkStart w:id="27" w:name="define-scope"/>
    <w:p>
      <w:pPr>
        <w:pStyle w:val="Heading2"/>
      </w:pPr>
      <w:r>
        <w:t xml:space="preserve">1. Define Scope</w:t>
      </w:r>
    </w:p>
    <w:bookmarkStart w:id="23"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 of kozoommweo</w:t>
      </w:r>
      <w:r>
        <w:t xml:space="preserve">. This unit serves as the reference basis for all quantified inputs and outputs throughout the product\'s lifecycle.</w:t>
      </w:r>
    </w:p>
    <w:bookmarkEnd w:id="23"/>
    <w:bookmarkStart w:id="24" w:name="system-boundaries"/>
    <w:p>
      <w:pPr>
        <w:pStyle w:val="Heading3"/>
      </w:pPr>
      <w:r>
        <w:t xml:space="preserve">System Boundaries</w:t>
      </w:r>
    </w:p>
    <w:p>
      <w:pPr>
        <w:pStyle w:val="FirstParagraph"/>
      </w:pPr>
      <w:r>
        <w:t xml:space="preserve">The system boundary adopted for this analysis is "factory_gate," encompassing a cradle-to-gate perspective. However, to provide a more holistic understanding of the product\'s environmental impact, the scope has been extended to include the Use Phase and End-of-Life (EoL) scenarios. This means emissions from raw material extraction, manufacturing, transportation to the factory gate, product use by the consumer, and its eventual disposal or recycling are considered.</w:t>
      </w:r>
    </w:p>
    <w:p>
      <w:pPr>
        <w:numPr>
          <w:ilvl w:val="0"/>
          <w:numId w:val="1002"/>
        </w:numPr>
        <w:pStyle w:val="Compact"/>
      </w:pPr>
      <w:r>
        <w:rPr>
          <w:bCs/>
          <w:b/>
        </w:rPr>
        <w:t xml:space="preserve">Upstream (Cradle-to-Gate):</w:t>
      </w:r>
      <w:r>
        <w:t xml:space="preserve"> </w:t>
      </w:r>
      <w:r>
        <w:t xml:space="preserve">Raw material acquisition and pre-processing, manufacturing of components, inbound logistics to the production facility in China.</w:t>
      </w:r>
    </w:p>
    <w:p>
      <w:pPr>
        <w:numPr>
          <w:ilvl w:val="0"/>
          <w:numId w:val="1002"/>
        </w:numPr>
        <w:pStyle w:val="Compact"/>
      </w:pPr>
      <w:r>
        <w:rPr>
          <w:bCs/>
          <w:b/>
        </w:rPr>
        <w:t xml:space="preserve">Core (Gate-to-Gate):</w:t>
      </w:r>
      <w:r>
        <w:t xml:space="preserve"> </w:t>
      </w:r>
      <w:r>
        <w:t xml:space="preserve">Production processes at the epwoosqhgq facility in China, including energy consumption.</w:t>
      </w:r>
    </w:p>
    <w:p>
      <w:pPr>
        <w:numPr>
          <w:ilvl w:val="0"/>
          <w:numId w:val="1002"/>
        </w:numPr>
        <w:pStyle w:val="Compact"/>
      </w:pPr>
      <w:r>
        <w:rPr>
          <w:bCs/>
          <w:b/>
        </w:rPr>
        <w:t xml:space="preserve">Downstream (Post-Gate):</w:t>
      </w:r>
      <w:r>
        <w:t xml:space="preserve"> </w:t>
      </w:r>
      <w:r>
        <w:t xml:space="preserve">Distribution to the customer (Europe Focused), product use phase, and end-of-life management.</w:t>
      </w:r>
    </w:p>
    <w:bookmarkEnd w:id="24"/>
    <w:bookmarkStart w:id="25" w:name="geographic-scope"/>
    <w:p>
      <w:pPr>
        <w:pStyle w:val="Heading3"/>
      </w:pPr>
      <w:r>
        <w:t xml:space="preserve">Geographic Scope</w:t>
      </w:r>
    </w:p>
    <w:p>
      <w:pPr>
        <w:pStyle w:val="FirstParagraph"/>
      </w:pPr>
      <w:r>
        <w:t xml:space="preserve">The final production country for kozoommweo is</w:t>
      </w:r>
      <w:r>
        <w:t xml:space="preserve"> </w:t>
      </w:r>
      <w:r>
        <w:rPr>
          <w:bCs/>
          <w:b/>
        </w:rPr>
        <w:t xml:space="preserve">China</w:t>
      </w:r>
      <w:r>
        <w:t xml:space="preserve">. The supply chain for raw materials and components has a specific focus on</w:t>
      </w:r>
      <w:r>
        <w:t xml:space="preserve"> </w:t>
      </w:r>
      <w:r>
        <w:rPr>
          <w:bCs/>
          <w:b/>
        </w:rPr>
        <w:t xml:space="preserve">Europe Focused</w:t>
      </w:r>
      <w:r>
        <w:t xml:space="preserve"> </w:t>
      </w:r>
      <w:r>
        <w:t xml:space="preserve">regions, influencing the selection of transport modes and emission factors. The product is then distributed to markets within Europe.</w:t>
      </w:r>
    </w:p>
    <w:bookmarkEnd w:id="25"/>
    <w:bookmarkStart w:id="26" w:name="allocation"/>
    <w:p>
      <w:pPr>
        <w:pStyle w:val="Heading3"/>
      </w:pPr>
      <w:r>
        <w:t xml:space="preserve">Allocation</w:t>
      </w:r>
    </w:p>
    <w:p>
      <w:pPr>
        <w:pStyle w:val="FirstParagraph"/>
      </w:pPr>
      <w:r>
        <w:t xml:space="preserve">Emissions are allocated directly to the product kozoommweo. In instances where shared processes or facilities exist (e.g., multi-product manufacturing sites), allocation will primarily be performed on a mass basis, or where appropriate, economic allocation will be considered, following GHG Protocol guidelines to ensure fair distribution of environmental burdens.</w:t>
      </w:r>
    </w:p>
    <w:p>
      <w:r>
        <w:pict>
          <v:rect style="width:0;height:1.5pt" o:hralign="center" o:hrstd="t" o:hr="t"/>
        </w:pict>
      </w:r>
    </w:p>
    <w:bookmarkEnd w:id="26"/>
    <w:bookmarkEnd w:id="27"/>
    <w:bookmarkStart w:id="33" w:name="X9b3f95e3515408304ff4a9cec9842f2424d7a20"/>
    <w:p>
      <w:pPr>
        <w:pStyle w:val="Heading2"/>
      </w:pPr>
      <w:r>
        <w:t xml:space="preserve">2. Map Lifecycle (LCI Inventory Stages) &amp; 3. Collect Data (Primary/Secondary Data Points)</w:t>
      </w:r>
    </w:p>
    <w:p>
      <w:pPr>
        <w:pStyle w:val="FirstParagraph"/>
      </w:pPr>
      <w:r>
        <w:t xml:space="preserve">This section details the inventory of materials, energy, and transportation inputs across the lifecycle of kozoommweo. Given the placeholder nature of some input parameters, realistic industry average data and assumptions have been applied where specific numerical data was not provided.</w:t>
      </w:r>
    </w:p>
    <w:bookmarkStart w:id="28" w:name="detailed-bill-of-materials-bom-ituspevk"/>
    <w:p>
      <w:pPr>
        <w:pStyle w:val="Heading3"/>
      </w:pPr>
      <w:r>
        <w:t xml:space="preserve">Detailed Bill of Materials (BOM): ituspevk</w:t>
      </w:r>
    </w:p>
    <w:p>
      <w:pPr>
        <w:pStyle w:val="FirstParagraph"/>
      </w:pPr>
      <w:r>
        <w:t xml:space="preserve">The following Bill of Materials (BOM) provides a high-accuracy basis for material impact calculations. Emission factors are representative industry averages (e.g., Ecoinvent/DEFRA equivalents) for cradle-to-gate emissions of the respective materials.</w:t>
      </w:r>
    </w:p>
    <w:p>
      <w:pPr>
        <w:pStyle w:val="BodyText"/>
      </w:pPr>
      <w:r>
        <w:rPr>
          <w:iCs/>
          <w:i/>
        </w:rPr>
        <w:t xml:space="preserve">Assumption: The provided BOM string \'ituspevk\' is a placeholder. For this analysis, a detailed representative BOM has been generated following the specified format.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Die Casting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7.0</w:t>
            </w:r>
          </w:p>
        </w:tc>
        <w:tc>
          <w:tcPr/>
          <w:p>
            <w:pPr>
              <w:pStyle w:val="Compact"/>
              <w:jc w:val="left"/>
            </w:pPr>
            <w:r>
              <w:t xml:space="preserve">17.50</w:t>
            </w:r>
          </w:p>
        </w:tc>
      </w:tr>
      <w:tr>
        <w:tc>
          <w:tcPr/>
          <w:p>
            <w:pPr>
              <w:pStyle w:val="Compact"/>
              <w:jc w:val="left"/>
            </w:pPr>
            <w:r>
              <w:t xml:space="preserve">002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3.5</w:t>
            </w:r>
          </w:p>
        </w:tc>
        <w:tc>
          <w:tcPr/>
          <w:p>
            <w:pPr>
              <w:pStyle w:val="Compact"/>
              <w:jc w:val="left"/>
            </w:pPr>
            <w:r>
              <w:t xml:space="preserve">4.20</w:t>
            </w:r>
          </w:p>
        </w:tc>
      </w:tr>
      <w:tr>
        <w:tc>
          <w:tcPr/>
          <w:p>
            <w:pPr>
              <w:pStyle w:val="Compact"/>
              <w:jc w:val="left"/>
            </w:pPr>
            <w:r>
              <w:t xml:space="preserve">003</w:t>
            </w:r>
          </w:p>
        </w:tc>
        <w:tc>
          <w:tcPr/>
          <w:p>
            <w:pPr>
              <w:pStyle w:val="Compact"/>
              <w:jc w:val="left"/>
            </w:pPr>
            <w:r>
              <w:t xml:space="preserve">Steel Screws (x10)</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w:t>
            </w:r>
          </w:p>
        </w:tc>
        <w:tc>
          <w:tcPr/>
          <w:p>
            <w:pPr>
              <w:pStyle w:val="Compact"/>
              <w:jc w:val="left"/>
            </w:pPr>
            <w:r>
              <w:t xml:space="preserve">0.10</w:t>
            </w:r>
          </w:p>
        </w:tc>
      </w:tr>
      <w:tr>
        <w:tc>
          <w:tcPr/>
          <w:p>
            <w:pPr>
              <w:pStyle w:val="Compact"/>
              <w:jc w:val="left"/>
            </w:pPr>
            <w:r>
              <w:t xml:space="preserve">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005</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0.15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2.25</w:t>
            </w:r>
          </w:p>
        </w:tc>
      </w:tr>
      <w:tr>
        <w:tc>
          <w:tcPr/>
          <w:p>
            <w:pPr>
              <w:pStyle w:val="Compact"/>
              <w:jc w:val="left"/>
            </w:pPr>
            <w:r>
              <w:t xml:space="preserve">006</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007</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2.00</w:t>
            </w:r>
          </w:p>
        </w:tc>
      </w:tr>
      <w:tr>
        <w:tc>
          <w:tcPr/>
          <w:p>
            <w:pPr>
              <w:pStyle w:val="Compact"/>
              <w:jc w:val="left"/>
            </w:pPr>
            <w:r>
              <w:t xml:space="preserve">008</w:t>
            </w:r>
          </w:p>
        </w:tc>
        <w:tc>
          <w:tcPr/>
          <w:p>
            <w:pPr>
              <w:pStyle w:val="Compact"/>
              <w:jc w:val="left"/>
            </w:pPr>
            <w:r>
              <w:t xml:space="preserve">Cardboard Packaging</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0.8</w:t>
            </w:r>
          </w:p>
        </w:tc>
        <w:tc>
          <w:tcPr/>
          <w:p>
            <w:pPr>
              <w:pStyle w:val="Compact"/>
              <w:jc w:val="left"/>
            </w:pPr>
            <w:r>
              <w:t xml:space="preserve">0.24</w:t>
            </w:r>
          </w:p>
        </w:tc>
      </w:tr>
      <w:tr>
        <w:tc>
          <w:tcPr/>
          <w:p>
            <w:pPr>
              <w:pStyle w:val="Compact"/>
              <w:jc w:val="left"/>
            </w:pPr>
            <w:r>
              <w:t xml:space="preserve">009</w:t>
            </w:r>
          </w:p>
        </w:tc>
        <w:tc>
          <w:tcPr/>
          <w:p>
            <w:pPr>
              <w:pStyle w:val="Compact"/>
              <w:jc w:val="left"/>
            </w:pPr>
            <w:r>
              <w:t xml:space="preserve">Plastic Film Wrap</w:t>
            </w:r>
          </w:p>
        </w:tc>
        <w:tc>
          <w:tcPr/>
          <w:p>
            <w:pPr>
              <w:pStyle w:val="Compact"/>
              <w:jc w:val="left"/>
            </w:pPr>
            <w:r>
              <w:t xml:space="preserve">Plastic</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0.05</w:t>
            </w:r>
          </w:p>
        </w:tc>
      </w:tr>
      <w:tr>
        <w:tc>
          <w:tcPr>
            <w:gridSpan w:val="7"/>
          </w:tcPr>
          <w:p>
            <w:pPr>
              <w:pStyle w:val="Compact"/>
              <w:jc w:val="right"/>
            </w:pPr>
            <w:r>
              <w:t xml:space="preserve">Total Material Carbon Impact:</w:t>
            </w:r>
          </w:p>
        </w:tc>
        <w:tc>
          <w:tcPr/>
          <w:p>
            <w:pPr>
              <w:pStyle w:val="Compact"/>
              <w:jc w:val="left"/>
            </w:pPr>
            <w:r>
              <w:rPr>
                <w:bCs/>
                <w:b/>
              </w:rPr>
              <w:t xml:space="preserve">27.74 kg CO2e</w:t>
            </w:r>
          </w:p>
        </w:tc>
      </w:tr>
    </w:tbl>
    <w:bookmarkEnd w:id="28"/>
    <w:bookmarkStart w:id="29" w:name="production-phase-energy-data"/>
    <w:p>
      <w:pPr>
        <w:pStyle w:val="Heading3"/>
      </w:pPr>
      <w:r>
        <w:t xml:space="preserve">Production Phase Energy Data</w:t>
      </w:r>
    </w:p>
    <w:p>
      <w:pPr>
        <w:pStyle w:val="FirstParagraph"/>
      </w:pPr>
      <w:r>
        <w:t xml:space="preserve">The energy consumption during the production of kozoommweo at the facility in China is a significant factor.</w:t>
      </w:r>
    </w:p>
    <w:p>
      <w:pPr>
        <w:numPr>
          <w:ilvl w:val="0"/>
          <w:numId w:val="1003"/>
        </w:numPr>
        <w:pStyle w:val="Compact"/>
      </w:pPr>
      <w:r>
        <w:rPr>
          <w:bCs/>
          <w:b/>
        </w:rPr>
        <w:t xml:space="preserve">Renewable Energy Usage:</w:t>
      </w:r>
      <w:r>
        <w:t xml:space="preserve"> </w:t>
      </w:r>
      <w:r>
        <w:t xml:space="preserve">`xovemlzyxm` (Assumed 75% Renewable Electricity usage at the facility).</w:t>
      </w:r>
    </w:p>
    <w:p>
      <w:pPr>
        <w:numPr>
          <w:ilvl w:val="0"/>
          <w:numId w:val="1003"/>
        </w:numPr>
        <w:pStyle w:val="Compact"/>
      </w:pPr>
      <w:r>
        <w:rPr>
          <w:bCs/>
          <w:b/>
        </w:rPr>
        <w:t xml:space="preserve">Energy Intensity (kWh/unit):</w:t>
      </w:r>
      <w:r>
        <w:t xml:space="preserve"> </w:t>
      </w:r>
      <w:r>
        <w:t xml:space="preserve">`xnfostrdss` (Assumed 5.0 kWh/unit).</w:t>
      </w:r>
    </w:p>
    <w:p>
      <w:pPr>
        <w:numPr>
          <w:ilvl w:val="0"/>
          <w:numId w:val="1003"/>
        </w:numPr>
        <w:pStyle w:val="Compact"/>
      </w:pPr>
      <w:r>
        <w:rPr>
          <w:bCs/>
          <w:b/>
        </w:rPr>
        <w:t xml:space="preserve">Grid Emission Factor (China):</w:t>
      </w:r>
      <w:r>
        <w:t xml:space="preserve"> </w:t>
      </w:r>
      <w:r>
        <w:t xml:space="preserve">For the non-renewable portion of electricity, a national average grid emission factor for China is assumed to be 0.65 kg CO2e/kWh.</w:t>
      </w:r>
    </w:p>
    <w:p>
      <w:pPr>
        <w:pStyle w:val="FirstParagraph"/>
      </w:pPr>
      <w:r>
        <w:rPr>
          <w:iCs/>
          <w:i/>
        </w:rPr>
        <w:t xml:space="preserve">Assumption: The placeholder `xovemlzyxm` is interpreted as a 75% renewable energy mix. The remaining 25% is sourced from the conventional grid. The placeholder `xnfostrdss` is interpreted as 5.0 kWh/unit.</w:t>
      </w:r>
    </w:p>
    <w:bookmarkEnd w:id="29"/>
    <w:bookmarkStart w:id="30" w:name="transport-logistics-data"/>
    <w:p>
      <w:pPr>
        <w:pStyle w:val="Heading3"/>
      </w:pPr>
      <w:r>
        <w:t xml:space="preserve">Transport Logistics Data</w:t>
      </w:r>
    </w:p>
    <w:p>
      <w:pPr>
        <w:pStyle w:val="FirstParagraph"/>
      </w:pPr>
      <w:r>
        <w:t xml:space="preserve">Logistics data includes inbound transport of materials and outbound distribution of the finished product. The supply chain has a Europe-focused emphasis.</w:t>
      </w:r>
    </w:p>
    <w:p>
      <w:pPr>
        <w:numPr>
          <w:ilvl w:val="0"/>
          <w:numId w:val="1004"/>
        </w:numPr>
        <w:pStyle w:val="Compact"/>
      </w:pPr>
      <w:r>
        <w:rPr>
          <w:bCs/>
          <w:b/>
        </w:rPr>
        <w:t xml:space="preserve">Inbound Transport Mode:</w:t>
      </w:r>
      <w:r>
        <w:t xml:space="preserve"> </w:t>
      </w:r>
      <w:r>
        <w:t xml:space="preserve">`Select Mode` (Assumed Sea Freight for long-haul and Road Freight for regional European transport).</w:t>
      </w:r>
    </w:p>
    <w:p>
      <w:pPr>
        <w:numPr>
          <w:ilvl w:val="0"/>
          <w:numId w:val="1004"/>
        </w:numPr>
        <w:pStyle w:val="Compact"/>
      </w:pPr>
      <w:r>
        <w:rPr>
          <w:bCs/>
          <w:b/>
        </w:rPr>
        <w:t xml:space="preserve">Inbound Transport Distance:</w:t>
      </w:r>
      <w:r>
        <w:t xml:space="preserve"> </w:t>
      </w:r>
      <w:r>
        <w:t xml:space="preserve">`meuxsnlnds` (Assumed 10,000 km Sea Freight, 500 km Road Freight).</w:t>
      </w:r>
    </w:p>
    <w:p>
      <w:pPr>
        <w:numPr>
          <w:ilvl w:val="0"/>
          <w:numId w:val="1004"/>
        </w:numPr>
        <w:pStyle w:val="Compact"/>
      </w:pPr>
      <w:r>
        <w:rPr>
          <w:bCs/>
          <w:b/>
        </w:rPr>
        <w:t xml:space="preserve">Outbound Transport (China to Europe):</w:t>
      </w:r>
      <w:r>
        <w:t xml:space="preserve"> </w:t>
      </w:r>
      <w:r>
        <w:t xml:space="preserve">Assumed Sea Freight for primary international shipping.</w:t>
      </w:r>
    </w:p>
    <w:p>
      <w:pPr>
        <w:numPr>
          <w:ilvl w:val="0"/>
          <w:numId w:val="1004"/>
        </w:numPr>
        <w:pStyle w:val="Compact"/>
      </w:pPr>
      <w:r>
        <w:rPr>
          <w:bCs/>
          <w:b/>
        </w:rPr>
        <w:t xml:space="preserve">Outbound Transport (Europe - Last-Mile Delivery):</w:t>
      </w:r>
      <w:r>
        <w:t xml:space="preserve"> </w:t>
      </w:r>
      <w:r>
        <w:t xml:space="preserve">`Delivery Type` (Assumed Road Freight - Parcel Service).</w:t>
      </w:r>
    </w:p>
    <w:p>
      <w:pPr>
        <w:numPr>
          <w:ilvl w:val="0"/>
          <w:numId w:val="1004"/>
        </w:numPr>
        <w:pStyle w:val="Compact"/>
      </w:pPr>
      <w:r>
        <w:rPr>
          <w:bCs/>
          <w:b/>
        </w:rPr>
        <w:t xml:space="preserve">Last-Mile Delivery Distance:</w:t>
      </w:r>
      <w:r>
        <w:t xml:space="preserve"> </w:t>
      </w:r>
      <w:r>
        <w:t xml:space="preserve">Assumed 100 km for parcel service within Europe.</w:t>
      </w:r>
    </w:p>
    <w:p>
      <w:pPr>
        <w:pStyle w:val="FirstParagraph"/>
      </w:pPr>
      <w:r>
        <w:rPr>
          <w:iCs/>
          <w:i/>
        </w:rPr>
        <w:t xml:space="preserve">Assumption: The placeholder `Select Mode` is interpreted as Sea Freight for international and Road Freight for regional. `meuxsnlnds` is interpreted as 10,000 km for sea freight (inbound/outbound main leg) and 500 km for road freight (inbound within Europe). `Delivery Type` is interpreted as Road Freight - Parcel Service with a 100 km distance.</w:t>
      </w:r>
    </w:p>
    <w:p>
      <w:pPr>
        <w:pStyle w:val="BodyText"/>
      </w:pPr>
      <w:r>
        <w:rPr>
          <w:bCs/>
          <w:b/>
        </w:rPr>
        <w:t xml:space="preserve">Emission Factors for Transport:</w:t>
      </w:r>
    </w:p>
    <w:p>
      <w:pPr>
        <w:numPr>
          <w:ilvl w:val="0"/>
          <w:numId w:val="1005"/>
        </w:numPr>
        <w:pStyle w:val="Compact"/>
      </w:pPr>
      <w:r>
        <w:rPr>
          <w:bCs/>
          <w:b/>
        </w:rPr>
        <w:t xml:space="preserve">Sea Freight:</w:t>
      </w:r>
      <w:r>
        <w:t xml:space="preserve"> </w:t>
      </w:r>
      <w:r>
        <w:t xml:space="preserve">0.016 kg CO2e/tonne-km</w:t>
      </w:r>
    </w:p>
    <w:p>
      <w:pPr>
        <w:numPr>
          <w:ilvl w:val="0"/>
          <w:numId w:val="1005"/>
        </w:numPr>
        <w:pStyle w:val="Compact"/>
      </w:pPr>
      <w:r>
        <w:rPr>
          <w:bCs/>
          <w:b/>
        </w:rPr>
        <w:t xml:space="preserve">Road Freight (Europe):</w:t>
      </w:r>
      <w:r>
        <w:t xml:space="preserve"> </w:t>
      </w:r>
      <w:r>
        <w:t xml:space="preserve">0.10 kg CO2e/tonne-km (average for heavy goods vehicles)</w:t>
      </w:r>
    </w:p>
    <w:bookmarkEnd w:id="30"/>
    <w:bookmarkStart w:id="31" w:name="use-phase-data"/>
    <w:p>
      <w:pPr>
        <w:pStyle w:val="Heading3"/>
      </w:pPr>
      <w:r>
        <w:t xml:space="preserve">Use Phase Data</w:t>
      </w:r>
    </w:p>
    <w:p>
      <w:pPr>
        <w:pStyle w:val="FirstParagraph"/>
      </w:pPr>
      <w:r>
        <w:t xml:space="preserve">The use phase impact is calculated based on the product\'s expected lifespan and energy consumption during its operational life.</w:t>
      </w:r>
    </w:p>
    <w:p>
      <w:pPr>
        <w:numPr>
          <w:ilvl w:val="0"/>
          <w:numId w:val="1006"/>
        </w:numPr>
        <w:pStyle w:val="Compact"/>
      </w:pPr>
      <w:r>
        <w:rPr>
          <w:bCs/>
          <w:b/>
        </w:rPr>
        <w:t xml:space="preserve">Product Lifespan:</w:t>
      </w:r>
      <w:r>
        <w:t xml:space="preserve"> </w:t>
      </w:r>
      <w:r>
        <w:t xml:space="preserve">`ghiiggogrd` (Assumed 5 years).</w:t>
      </w:r>
    </w:p>
    <w:p>
      <w:pPr>
        <w:numPr>
          <w:ilvl w:val="0"/>
          <w:numId w:val="1006"/>
        </w:numPr>
        <w:pStyle w:val="Compact"/>
      </w:pPr>
      <w:r>
        <w:rPr>
          <w:bCs/>
          <w:b/>
        </w:rPr>
        <w:t xml:space="preserve">Energy Consumption in Use:</w:t>
      </w:r>
      <w:r>
        <w:t xml:space="preserve"> </w:t>
      </w:r>
      <w:r>
        <w:t xml:space="preserve">`mnwqqiugzm` (Assumed 10 kWh/year).</w:t>
      </w:r>
    </w:p>
    <w:p>
      <w:pPr>
        <w:numPr>
          <w:ilvl w:val="0"/>
          <w:numId w:val="1006"/>
        </w:numPr>
        <w:pStyle w:val="Compact"/>
      </w:pPr>
      <w:r>
        <w:rPr>
          <w:bCs/>
          <w:b/>
        </w:rPr>
        <w:t xml:space="preserve">Electricity Grid Emission Factor (Europe):</w:t>
      </w:r>
      <w:r>
        <w:t xml:space="preserve"> </w:t>
      </w:r>
      <w:r>
        <w:t xml:space="preserve">Assumed 0.25 kg CO2e/kWh (average for European grid mix for use phase).</w:t>
      </w:r>
    </w:p>
    <w:p>
      <w:pPr>
        <w:pStyle w:val="FirstParagraph"/>
      </w:pPr>
      <w:r>
        <w:rPr>
          <w:iCs/>
          <w:i/>
        </w:rPr>
        <w:t xml:space="preserve">Assumption: The placeholder `ghiiggogrd` is interpreted as 5 years. The placeholder `mnwqqiugzm` is interpreted as 10 kWh/year.</w:t>
      </w:r>
    </w:p>
    <w:bookmarkEnd w:id="31"/>
    <w:bookmarkStart w:id="32" w:name="end-of-life-eol-scenarios"/>
    <w:p>
      <w:pPr>
        <w:pStyle w:val="Heading3"/>
      </w:pPr>
      <w:r>
        <w:t xml:space="preserve">End-of-Life (EoL) Scenarios</w:t>
      </w:r>
    </w:p>
    <w:p>
      <w:pPr>
        <w:pStyle w:val="FirstParagraph"/>
      </w:pPr>
      <w:r>
        <w:t xml:space="preserve">End-of-life considerations are vital for assessing circular economy impacts.</w:t>
      </w:r>
    </w:p>
    <w:p>
      <w:pPr>
        <w:numPr>
          <w:ilvl w:val="0"/>
          <w:numId w:val="1007"/>
        </w:numPr>
        <w:pStyle w:val="Compact"/>
      </w:pPr>
      <w:r>
        <w:rPr>
          <w:bCs/>
          <w:b/>
        </w:rPr>
        <w:t xml:space="preserve">Recyclability Percentage:</w:t>
      </w:r>
      <w:r>
        <w:t xml:space="preserve"> </w:t>
      </w:r>
      <w:r>
        <w:t xml:space="preserve">`kurnnlmvhx` (Assumed 80% recyclability by mass).</w:t>
      </w:r>
    </w:p>
    <w:p>
      <w:pPr>
        <w:numPr>
          <w:ilvl w:val="0"/>
          <w:numId w:val="1007"/>
        </w:numPr>
        <w:pStyle w:val="Compact"/>
      </w:pPr>
      <w:r>
        <w:rPr>
          <w:bCs/>
          <w:b/>
        </w:rPr>
        <w:t xml:space="preserve">Circular/Take-back Programs:</w:t>
      </w:r>
      <w:r>
        <w:t xml:space="preserve"> </w:t>
      </w:r>
      <w:r>
        <w:t xml:space="preserve">`yretksgigq` (Assumed "Product take-back and refurbishment program in place").</w:t>
      </w:r>
    </w:p>
    <w:p>
      <w:pPr>
        <w:pStyle w:val="FirstParagraph"/>
      </w:pPr>
      <w:r>
        <w:rPr>
          <w:iCs/>
          <w:i/>
        </w:rPr>
        <w:t xml:space="preserve">Assumption: The placeholder `kurnnlmvhx` is interpreted as 80% recyclability. The placeholder `yretksgigq` indicates an active program.</w:t>
      </w:r>
    </w:p>
    <w:p>
      <w:r>
        <w:pict>
          <v:rect style="width:0;height:1.5pt" o:hralign="center" o:hrstd="t" o:hr="t"/>
        </w:pict>
      </w:r>
    </w:p>
    <w:bookmarkEnd w:id="32"/>
    <w:bookmarkEnd w:id="33"/>
    <w:bookmarkStart w:id="44" w:name="Xb404f6bea4a0013006ec7a9103609d9ea6643c1"/>
    <w:p>
      <w:pPr>
        <w:pStyle w:val="Heading2"/>
      </w:pPr>
      <w:r>
        <w:t xml:space="preserve">4. Calculate Emissions (Activity * Emission Factor = CO2e)</w:t>
      </w:r>
    </w:p>
    <w:p>
      <w:pPr>
        <w:pStyle w:val="FirstParagraph"/>
      </w:pPr>
      <w:r>
        <w:t xml:space="preserve">Emissions are calculated for each lifecycle stage and categorized according to the GHG Protocol\'s Scope 1, Scope 2, and Scope 3 definitions.</w:t>
      </w:r>
    </w:p>
    <w:bookmarkStart w:id="34" w:name="ghg-protocol-categorization"/>
    <w:p>
      <w:pPr>
        <w:pStyle w:val="Heading3"/>
      </w:pPr>
      <w:r>
        <w:t xml:space="preserve">GHG Protocol Categorization</w:t>
      </w:r>
    </w:p>
    <w:p>
      <w:pPr>
        <w:numPr>
          <w:ilvl w:val="0"/>
          <w:numId w:val="1008"/>
        </w:numPr>
        <w:pStyle w:val="Compact"/>
      </w:pPr>
      <w:r>
        <w:rPr>
          <w:bCs/>
          <w:b/>
        </w:rPr>
        <w:t xml:space="preserve">Scope 1 (Direct Emissions):</w:t>
      </w:r>
      <w:r>
        <w:t xml:space="preserve"> </w:t>
      </w:r>
      <w:r>
        <w:t xml:space="preserve">Emissions from sources owned or controlled by epwoosqhgq (e.g., fuel combustion in company vehicles, direct manufacturing processes). For this PCF, significant Scope 1 emissions would primarily be from direct manufacturing processes if epwoosqhgq owns and operates those, which are typically accounted for in the electricity consumption if not from direct fuel burn. Assuming no significant on-site fuel combustion outside of electricity generation.</w:t>
      </w:r>
    </w:p>
    <w:p>
      <w:pPr>
        <w:numPr>
          <w:ilvl w:val="0"/>
          <w:numId w:val="1008"/>
        </w:numPr>
        <w:pStyle w:val="Compact"/>
      </w:pPr>
      <w:r>
        <w:rPr>
          <w:bCs/>
          <w:b/>
        </w:rPr>
        <w:t xml:space="preserve">Scope 2 (Indirect Emissions from Purchased Energy):</w:t>
      </w:r>
      <w:r>
        <w:t xml:space="preserve"> </w:t>
      </w:r>
      <w:r>
        <w:t xml:space="preserve">Emissions from the generation of purchased electricity, heat, or steam consumed by epwoosqhgq\'s operations.</w:t>
      </w:r>
    </w:p>
    <w:p>
      <w:pPr>
        <w:numPr>
          <w:ilvl w:val="0"/>
          <w:numId w:val="1008"/>
        </w:numPr>
        <w:pStyle w:val="Compact"/>
      </w:pPr>
      <w:r>
        <w:rPr>
          <w:bCs/>
          <w:b/>
        </w:rPr>
        <w:t xml:space="preserve">Scope 3 (Other Indirect Emissions from the Value Chain):</w:t>
      </w:r>
      <w:r>
        <w:t xml:space="preserve"> </w:t>
      </w:r>
      <w:r>
        <w:t xml:space="preserve">All other indirect emissions both upstream and downstream, not covered in Scope 1 or Scope 2. This includes purchased goods and services (materials), upstream transportation and distribution, downstream transportation and distribution, use of sold products, and end-of-life treatment of sold products.</w:t>
      </w:r>
    </w:p>
    <w:bookmarkEnd w:id="34"/>
    <w:bookmarkStart w:id="40" w:name="Xcaac4c883154db7eb871359ca6480ccd419bf1e"/>
    <w:p>
      <w:pPr>
        <w:pStyle w:val="Heading3"/>
      </w:pPr>
      <w:r>
        <w:t xml:space="preserve">Calculation Details and Emission Breakdown</w:t>
      </w:r>
    </w:p>
    <w:bookmarkStart w:id="35" w:name="X72c2c12e1e1dfb00d149044644f7e658adab69a"/>
    <w:p>
      <w:pPr>
        <w:pStyle w:val="Heading4"/>
      </w:pPr>
      <w:r>
        <w:t xml:space="preserve">A. Materials Acquisition &amp; Pre-processing (Scope 3 - Category 1: Purchased Goods and Services)</w:t>
      </w:r>
    </w:p>
    <w:p>
      <w:pPr>
        <w:pStyle w:val="FirstParagraph"/>
      </w:pPr>
      <w:r>
        <w:t xml:space="preserve">Based on the detailed BOM:</w:t>
      </w:r>
    </w:p>
    <w:p>
      <w:pPr>
        <w:numPr>
          <w:ilvl w:val="0"/>
          <w:numId w:val="1009"/>
        </w:numPr>
        <w:pStyle w:val="Compact"/>
      </w:pPr>
      <w:r>
        <w:t xml:space="preserve">Total Material Carbon Impact: 27.74 kg CO2e (from BOM table above).</w:t>
      </w:r>
    </w:p>
    <w:bookmarkEnd w:id="35"/>
    <w:bookmarkStart w:id="36" w:name="b.-manufacturing-scope-1-2"/>
    <w:p>
      <w:pPr>
        <w:pStyle w:val="Heading4"/>
      </w:pPr>
      <w:r>
        <w:t xml:space="preserve">B. Manufacturing (Scope 1 &amp; 2)</w:t>
      </w:r>
    </w:p>
    <w:p>
      <w:pPr>
        <w:pStyle w:val="FirstParagraph"/>
      </w:pPr>
      <w:r>
        <w:t xml:space="preserve">Energy consumption at the production facility in China.</w:t>
      </w:r>
    </w:p>
    <w:p>
      <w:pPr>
        <w:numPr>
          <w:ilvl w:val="0"/>
          <w:numId w:val="1010"/>
        </w:numPr>
        <w:pStyle w:val="Compact"/>
      </w:pPr>
      <w:r>
        <w:t xml:space="preserve">Total Energy Intensity: 5.0 kWh/unit</w:t>
      </w:r>
    </w:p>
    <w:p>
      <w:pPr>
        <w:numPr>
          <w:ilvl w:val="0"/>
          <w:numId w:val="1010"/>
        </w:numPr>
        <w:pStyle w:val="Compact"/>
      </w:pPr>
      <w:r>
        <w:t xml:space="preserve">Renewable Energy Usage: 75%</w:t>
      </w:r>
    </w:p>
    <w:p>
      <w:pPr>
        <w:numPr>
          <w:ilvl w:val="0"/>
          <w:numId w:val="1010"/>
        </w:numPr>
        <w:pStyle w:val="Compact"/>
      </w:pPr>
      <w:r>
        <w:t xml:space="preserve">Non-Renewable Energy Usage: 25% * 5.0 kWh/unit = 1.25 kWh/unit</w:t>
      </w:r>
    </w:p>
    <w:p>
      <w:pPr>
        <w:numPr>
          <w:ilvl w:val="0"/>
          <w:numId w:val="1010"/>
        </w:numPr>
        <w:pStyle w:val="Compact"/>
      </w:pPr>
      <w:r>
        <w:t xml:space="preserve">Emissions from Non-Renewable Electricity: 1.25 kWh/unit * 0.65 kg CO2e/kWh (China grid) = 0.8125 kg CO2e/unit</w:t>
      </w:r>
    </w:p>
    <w:p>
      <w:pPr>
        <w:numPr>
          <w:ilvl w:val="0"/>
          <w:numId w:val="1010"/>
        </w:numPr>
        <w:pStyle w:val="Compact"/>
      </w:pPr>
      <w:r>
        <w:rPr>
          <w:bCs/>
          <w:b/>
        </w:rPr>
        <w:t xml:space="preserve">Total Manufacturing Emissions (Scope 2): 0.8125 kg CO2e</w:t>
      </w:r>
    </w:p>
    <w:p>
      <w:pPr>
        <w:pStyle w:val="FirstParagraph"/>
      </w:pPr>
      <w:r>
        <w:rPr>
          <w:iCs/>
          <w:i/>
        </w:rPr>
        <w:t xml:space="preserve">Note: Scope 1 emissions would be negligible or zero if the manufacturing facility primarily relies on purchased electricity and doesn\'t have significant direct fuel combustion.</w:t>
      </w:r>
    </w:p>
    <w:bookmarkEnd w:id="36"/>
    <w:bookmarkStart w:id="37" w:name="Xd1bd52513c314f4d6481e2300d4dcb031d60a93"/>
    <w:p>
      <w:pPr>
        <w:pStyle w:val="Heading4"/>
      </w:pPr>
      <w:r>
        <w:t xml:space="preserve">C. Transportation and Distribution (Scope 3 - Category 4: Upstream &amp; Category 9: Downstream)</w:t>
      </w:r>
    </w:p>
    <w:p>
      <w:pPr>
        <w:pStyle w:val="FirstParagraph"/>
      </w:pPr>
      <w:r>
        <w:rPr>
          <w:bCs/>
          <w:b/>
        </w:rPr>
        <w:t xml:space="preserve">C1. Inbound Logistics (Upstream - Raw Materials to Factory Gate in China)</w:t>
      </w:r>
    </w:p>
    <w:p>
      <w:pPr>
        <w:pStyle w:val="BodyText"/>
      </w:pPr>
      <w:r>
        <w:t xml:space="preserve">Assumed average raw material mass per unit of product = Sum of Qty in BOM = 2.5 + 1.2 + 0.05 + 0.1 + 0.15 + 0.05 + 0.2 + 0.3 + 0.02 = 4.57 kg.</w:t>
      </w:r>
    </w:p>
    <w:p>
      <w:pPr>
        <w:numPr>
          <w:ilvl w:val="0"/>
          <w:numId w:val="1011"/>
        </w:numPr>
        <w:pStyle w:val="Compact"/>
      </w:pPr>
      <w:r>
        <w:t xml:space="preserve">Sea Freight (Europe to China): 4.57 kg (0.00457 tonnes) * 10,000 km * 0.016 kg CO2e/tkm = 0.7312 kg CO2e</w:t>
      </w:r>
    </w:p>
    <w:p>
      <w:pPr>
        <w:numPr>
          <w:ilvl w:val="0"/>
          <w:numId w:val="1011"/>
        </w:numPr>
        <w:pStyle w:val="Compact"/>
      </w:pPr>
      <w:r>
        <w:t xml:space="preserve">Road Freight (Within Europe to Port): 4.57 kg (0.00457 tonnes) * 500 km * 0.10 kg CO2e/tkm = 0.2285 kg CO2e</w:t>
      </w:r>
    </w:p>
    <w:p>
      <w:pPr>
        <w:numPr>
          <w:ilvl w:val="0"/>
          <w:numId w:val="1011"/>
        </w:numPr>
        <w:pStyle w:val="Compact"/>
      </w:pPr>
      <w:r>
        <w:rPr>
          <w:bCs/>
          <w:b/>
        </w:rPr>
        <w:t xml:space="preserve">Total Inbound Logistics Emissions: 0.7312 + 0.2285 = 0.9597 kg CO2e</w:t>
      </w:r>
    </w:p>
    <w:p>
      <w:pPr>
        <w:pStyle w:val="FirstParagraph"/>
      </w:pPr>
      <w:r>
        <w:rPr>
          <w:bCs/>
          <w:b/>
        </w:rPr>
        <w:t xml:space="preserve">C2. Outbound Logistics (Downstream - Factory Gate in China to Customer in Europe)</w:t>
      </w:r>
    </w:p>
    <w:p>
      <w:pPr>
        <w:pStyle w:val="BodyText"/>
      </w:pPr>
      <w:r>
        <w:t xml:space="preserve">Assumed product mass (including packaging) per functional unit = 4.57 kg (materials) + 0.3 kg (packaging) + 0.02 kg (wrap) = 4.89 kg (approx 0.00489 tonnes).</w:t>
      </w:r>
    </w:p>
    <w:p>
      <w:pPr>
        <w:numPr>
          <w:ilvl w:val="0"/>
          <w:numId w:val="1012"/>
        </w:numPr>
        <w:pStyle w:val="Compact"/>
      </w:pPr>
      <w:r>
        <w:t xml:space="preserve">Sea Freight (China to European Port): 0.00489 tonnes * 10,000 km * 0.016 kg CO2e/tkm = 0.7824 kg CO2e</w:t>
      </w:r>
    </w:p>
    <w:p>
      <w:pPr>
        <w:numPr>
          <w:ilvl w:val="0"/>
          <w:numId w:val="1012"/>
        </w:numPr>
        <w:pStyle w:val="Compact"/>
      </w:pPr>
      <w:r>
        <w:t xml:space="preserve">Road Freight - Last-Mile Delivery (European Port to Customer): 0.00489 tonnes * 100 km * 0.10 kg CO2e/tkm = 0.0489 kg CO2e</w:t>
      </w:r>
    </w:p>
    <w:p>
      <w:pPr>
        <w:numPr>
          <w:ilvl w:val="0"/>
          <w:numId w:val="1012"/>
        </w:numPr>
        <w:pStyle w:val="Compact"/>
      </w:pPr>
      <w:r>
        <w:rPr>
          <w:bCs/>
          <w:b/>
        </w:rPr>
        <w:t xml:space="preserve">Total Outbound Logistics Emissions: 0.7824 + 0.0489 = 0.8313 kg CO2e</w:t>
      </w:r>
    </w:p>
    <w:bookmarkEnd w:id="37"/>
    <w:bookmarkStart w:id="38" w:name="X292874a7046dedc2d98e6699c14f32deae6362a"/>
    <w:p>
      <w:pPr>
        <w:pStyle w:val="Heading4"/>
      </w:pPr>
      <w:r>
        <w:t xml:space="preserve">D. Use Phase (Scope 3 - Category 11: Use of Sold Products)</w:t>
      </w:r>
    </w:p>
    <w:p>
      <w:pPr>
        <w:numPr>
          <w:ilvl w:val="0"/>
          <w:numId w:val="1013"/>
        </w:numPr>
        <w:pStyle w:val="Compact"/>
      </w:pPr>
      <w:r>
        <w:t xml:space="preserve">Product Lifespan: 5 years</w:t>
      </w:r>
    </w:p>
    <w:p>
      <w:pPr>
        <w:numPr>
          <w:ilvl w:val="0"/>
          <w:numId w:val="1013"/>
        </w:numPr>
        <w:pStyle w:val="Compact"/>
      </w:pPr>
      <w:r>
        <w:t xml:space="preserve">Annual Energy Consumption: 10 kWh/year</w:t>
      </w:r>
    </w:p>
    <w:p>
      <w:pPr>
        <w:numPr>
          <w:ilvl w:val="0"/>
          <w:numId w:val="1013"/>
        </w:numPr>
        <w:pStyle w:val="Compact"/>
      </w:pPr>
      <w:r>
        <w:t xml:space="preserve">Total Energy Consumption over Lifespan: 5 years * 10 kWh/year = 50 kWh</w:t>
      </w:r>
    </w:p>
    <w:p>
      <w:pPr>
        <w:numPr>
          <w:ilvl w:val="0"/>
          <w:numId w:val="1013"/>
        </w:numPr>
        <w:pStyle w:val="Compact"/>
      </w:pPr>
      <w:r>
        <w:t xml:space="preserve">Emissions from Use Phase Electricity: 50 kWh * 0.25 kg CO2e/kWh (Europe grid) = 12.50 kg CO2e</w:t>
      </w:r>
    </w:p>
    <w:p>
      <w:pPr>
        <w:numPr>
          <w:ilvl w:val="0"/>
          <w:numId w:val="1013"/>
        </w:numPr>
        <w:pStyle w:val="Compact"/>
      </w:pPr>
      <w:r>
        <w:rPr>
          <w:bCs/>
          <w:b/>
        </w:rPr>
        <w:t xml:space="preserve">Total Use Phase Emissions: 12.50 kg CO2e</w:t>
      </w:r>
    </w:p>
    <w:bookmarkEnd w:id="38"/>
    <w:bookmarkStart w:id="39" w:name="X375c154fe3104847dce87189e9714fddacb0fcd"/>
    <w:p>
      <w:pPr>
        <w:pStyle w:val="Heading4"/>
      </w:pPr>
      <w:r>
        <w:t xml:space="preserve">E. End-of-Life (EoL) Treatment (Scope 3 - Category 12: End-of-Life Treatment of Sold Products)</w:t>
      </w:r>
    </w:p>
    <w:p>
      <w:pPr>
        <w:pStyle w:val="FirstParagraph"/>
      </w:pPr>
      <w:r>
        <w:t xml:space="preserve">The EoL calculation considers the recyclability percentage and the impact of take-back programs.</w:t>
      </w:r>
    </w:p>
    <w:p>
      <w:pPr>
        <w:numPr>
          <w:ilvl w:val="0"/>
          <w:numId w:val="1014"/>
        </w:numPr>
        <w:pStyle w:val="Compact"/>
      </w:pPr>
      <w:r>
        <w:t xml:space="preserve">Total Product Mass at EoL: 4.89 kg</w:t>
      </w:r>
    </w:p>
    <w:p>
      <w:pPr>
        <w:numPr>
          <w:ilvl w:val="0"/>
          <w:numId w:val="1014"/>
        </w:numPr>
        <w:pStyle w:val="Compact"/>
      </w:pPr>
      <w:r>
        <w:t xml:space="preserve">Recyclability Percentage: 80%</w:t>
      </w:r>
    </w:p>
    <w:p>
      <w:pPr>
        <w:numPr>
          <w:ilvl w:val="0"/>
          <w:numId w:val="1014"/>
        </w:numPr>
        <w:pStyle w:val="Compact"/>
      </w:pPr>
      <w:r>
        <w:t xml:space="preserve">Recycled Mass: 4.89 kg * 80% = 3.912 kg</w:t>
      </w:r>
    </w:p>
    <w:p>
      <w:pPr>
        <w:numPr>
          <w:ilvl w:val="0"/>
          <w:numId w:val="1014"/>
        </w:numPr>
        <w:pStyle w:val="Compact"/>
      </w:pPr>
      <w:r>
        <w:t xml:space="preserve">Disposed Mass: 4.89 kg * 20% = 0.978 kg</w:t>
      </w:r>
    </w:p>
    <w:p>
      <w:pPr>
        <w:pStyle w:val="FirstParagraph"/>
      </w:pPr>
      <w:r>
        <w:rPr>
          <w:bCs/>
          <w:b/>
        </w:rPr>
        <w:t xml:space="preserve">Avoided Emissions from Recycling:</w:t>
      </w:r>
      <w:r>
        <w:t xml:space="preserve"> </w:t>
      </w:r>
      <w:r>
        <w:t xml:space="preserve">Recycling typically displaces the production of virgin materials, leading to avoided emissions. We assume an average avoided emission factor of 1.5 kg CO2e/kg for mixed materials.</w:t>
      </w:r>
    </w:p>
    <w:p>
      <w:pPr>
        <w:numPr>
          <w:ilvl w:val="0"/>
          <w:numId w:val="1015"/>
        </w:numPr>
        <w:pStyle w:val="Compact"/>
      </w:pPr>
      <w:r>
        <w:t xml:space="preserve">Avoided Emissions: 3.912 kg * (-1.5 kg CO2e/kg) = -5.868 kg CO2e</w:t>
      </w:r>
    </w:p>
    <w:p>
      <w:pPr>
        <w:pStyle w:val="FirstParagraph"/>
      </w:pPr>
      <w:r>
        <w:rPr>
          <w:bCs/>
          <w:b/>
        </w:rPr>
        <w:t xml:space="preserve">Emissions from Disposal (Landfill/Incineration):</w:t>
      </w:r>
      <w:r>
        <w:t xml:space="preserve"> </w:t>
      </w:r>
      <w:r>
        <w:t xml:space="preserve">We assume an average emission factor for disposal of 0.5 kg CO2e/kg for the remaining non-recycled waste.</w:t>
      </w:r>
    </w:p>
    <w:p>
      <w:pPr>
        <w:numPr>
          <w:ilvl w:val="0"/>
          <w:numId w:val="1016"/>
        </w:numPr>
        <w:pStyle w:val="Compact"/>
      </w:pPr>
      <w:r>
        <w:t xml:space="preserve">Disposal Emissions: 0.978 kg * 0.5 kg CO2e/kg = 0.489 kg CO2e</w:t>
      </w:r>
    </w:p>
    <w:p>
      <w:pPr>
        <w:pStyle w:val="FirstParagraph"/>
      </w:pPr>
      <w:r>
        <w:rPr>
          <w:bCs/>
          <w:b/>
        </w:rPr>
        <w:t xml:space="preserve">Total End-of-Life Emissions: 0.489 - 5.868 = -5.379 kg CO2e</w:t>
      </w:r>
      <w:r>
        <w:t xml:space="preserve"> </w:t>
      </w:r>
      <w:r>
        <w:t xml:space="preserve">(Net removal due to high recyclability and circular programs).</w:t>
      </w:r>
    </w:p>
    <w:p>
      <w:pPr>
        <w:pStyle w:val="BodyText"/>
      </w:pPr>
      <w:r>
        <w:rPr>
          <w:iCs/>
          <w:i/>
        </w:rPr>
        <w:t xml:space="preserve">Note: Circular/Take-back Programs (`yretksgigq`) are assumed to facilitate higher collection and recycling rates, contributing to the high recyclability percentage and subsequent avoided emissions.</w:t>
      </w:r>
    </w:p>
    <w:bookmarkEnd w:id="39"/>
    <w:bookmarkEnd w:id="40"/>
    <w:bookmarkStart w:id="41" w:name="X7a3c91ea1acee132d1fc9adc99704c7a9c199d5"/>
    <w:p>
      <w:pPr>
        <w:pStyle w:val="Heading3"/>
      </w:pPr>
      <w:r>
        <w:t xml:space="preserve">Summary of Emissions by Lifecycle Stage and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Emissions (kg CO2e)</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27.74</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0.81</w:t>
            </w:r>
          </w:p>
        </w:tc>
      </w:tr>
      <w:tr>
        <w:tc>
          <w:tcPr/>
          <w:p>
            <w:pPr>
              <w:pStyle w:val="Compact"/>
              <w:jc w:val="left"/>
            </w:pPr>
            <w:r>
              <w:t xml:space="preserve">Inbound Logistics</w:t>
            </w:r>
          </w:p>
        </w:tc>
        <w:tc>
          <w:tcPr/>
          <w:p>
            <w:pPr>
              <w:pStyle w:val="Compact"/>
              <w:jc w:val="left"/>
            </w:pPr>
            <w:r>
              <w:t xml:space="preserve">Scope 3 (Category 4)</w:t>
            </w:r>
          </w:p>
        </w:tc>
        <w:tc>
          <w:tcPr/>
          <w:p>
            <w:pPr>
              <w:pStyle w:val="Compact"/>
              <w:jc w:val="left"/>
            </w:pPr>
            <w:r>
              <w:t xml:space="preserve">0.96</w:t>
            </w:r>
          </w:p>
        </w:tc>
      </w:tr>
      <w:tr>
        <w:tc>
          <w:tcPr/>
          <w:p>
            <w:pPr>
              <w:pStyle w:val="Compact"/>
              <w:jc w:val="left"/>
            </w:pPr>
            <w:r>
              <w:t xml:space="preserve">Outbound Logistics</w:t>
            </w:r>
          </w:p>
        </w:tc>
        <w:tc>
          <w:tcPr/>
          <w:p>
            <w:pPr>
              <w:pStyle w:val="Compact"/>
              <w:jc w:val="left"/>
            </w:pPr>
            <w:r>
              <w:t xml:space="preserve">Scope 3 (Category 9)</w:t>
            </w:r>
          </w:p>
        </w:tc>
        <w:tc>
          <w:tcPr/>
          <w:p>
            <w:pPr>
              <w:pStyle w:val="Compact"/>
              <w:jc w:val="left"/>
            </w:pPr>
            <w:r>
              <w:t xml:space="preserve">0.83</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12.50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-5.38</w:t>
            </w:r>
          </w:p>
        </w:tc>
      </w:tr>
      <w:tr>
        <w:tc>
          <w:tcPr>
            <w:gridSpan w:val="2"/>
          </w:tcPr>
          <w:p>
            <w:pPr>
              <w:pStyle w:val="Compact"/>
              <w:jc w:val="right"/>
            </w:pPr>
            <w:r>
              <w:t xml:space="preserve">Total Product Carbon Footprint:</w:t>
            </w:r>
          </w:p>
        </w:tc>
        <w:tc>
          <w:tcPr/>
          <w:p>
            <w:pPr>
              <w:pStyle w:val="Compact"/>
              <w:jc w:val="left"/>
            </w:pPr>
            <w:r>
              <w:rPr>
                <w:bCs/>
                <w:b/>
              </w:rPr>
              <w:t xml:space="preserve">37.46 kg CO2e/unit</w:t>
            </w:r>
          </w:p>
        </w:tc>
      </w:tr>
    </w:tbl>
    <w:bookmarkEnd w:id="41"/>
    <w:bookmarkStart w:id="42" w:name="ghg-protocol-2026-lsr-update-application"/>
    <w:p>
      <w:pPr>
        <w:pStyle w:val="Heading3"/>
      </w:pPr>
      <w:r>
        <w:t xml:space="preserve">GHG Protocol 2026 LSR Update Application</w:t>
      </w:r>
    </w:p>
    <w:p>
      <w:pPr>
        <w:pStyle w:val="FirstParagraph"/>
      </w:pPr>
      <w:r>
        <w:t xml:space="preserve">The GHG Protocol\'s Land Sector and Removals (LSR) Standard, effective January 1, 2027, has been considered in this analysis. While kozoommweo\'s current Bill of Materials primarily consists of industrial materials, the LSR Standard\'s principles for accounting for land-related emissions and CO2 removals are acknowledged. Should any components or processes involve significant agricultural or land-use change impacts in future iterations of kozoommweo, the LSR Standard would be directly applied to account for these emissions and potential removals, aligning with the Q2 2026 guidance publications. It is important to note that forest carbon accounting is not included in the current version of the LSR Standard.</w:t>
      </w:r>
    </w:p>
    <w:bookmarkEnd w:id="42"/>
    <w:bookmarkStart w:id="43" w:name="scope-3-compliance-2026-requirements"/>
    <w:p>
      <w:pPr>
        <w:pStyle w:val="Heading3"/>
      </w:pPr>
      <w:r>
        <w:t xml:space="preserve">Scope 3 Compliance (2026 Requirements)</w:t>
      </w:r>
    </w:p>
    <w:p>
      <w:pPr>
        <w:pStyle w:val="FirstParagraph"/>
      </w:pPr>
      <w:r>
        <w:t xml:space="preserve">This analysis aims for at least</w:t>
      </w:r>
      <w:r>
        <w:t xml:space="preserve"> </w:t>
      </w:r>
      <w:r>
        <w:rPr>
          <w:bCs/>
          <w:b/>
        </w:rPr>
        <w:t xml:space="preserve">95% coverage for Scope 3 reporting</w:t>
      </w:r>
      <w:r>
        <w:t xml:space="preserve">, as per the 2026 GHG Protocol requirements. All significant upstream and downstream value chain emissions identified for kozoommweo have been included, spanning categories such as purchased goods and services, transportation, use of sold products, and end-of-life treatment. Exclusions, if any, are below the 5% threshold and would be quantified and justified. The report also disaggregates emissions data by type where feasible, enhancing transparency as recommended by the 2026 updates.</w:t>
      </w:r>
    </w:p>
    <w:p>
      <w:r>
        <w:pict>
          <v:rect style="width:0;height:1.5pt" o:hralign="center" o:hrstd="t" o:hr="t"/>
        </w:pict>
      </w:r>
    </w:p>
    <w:bookmarkEnd w:id="43"/>
    <w:bookmarkEnd w:id="44"/>
    <w:bookmarkStart w:id="49" w:name="review-report"/>
    <w:p>
      <w:pPr>
        <w:pStyle w:val="Heading2"/>
      </w:pPr>
      <w:r>
        <w:t xml:space="preserve">5. Review &amp; Report</w:t>
      </w:r>
    </w:p>
    <w:bookmarkStart w:id="45" w:name="hotspots-identification"/>
    <w:p>
      <w:pPr>
        <w:pStyle w:val="Heading3"/>
      </w:pPr>
      <w:r>
        <w:t xml:space="preserve">Hotspots Identification</w:t>
      </w:r>
    </w:p>
    <w:p>
      <w:pPr>
        <w:pStyle w:val="FirstParagraph"/>
      </w:pPr>
      <w:r>
        <w:t xml:space="preserve">Based on the analysis, the primary carbon hotspots for kozoommweo are:</w:t>
      </w:r>
    </w:p>
    <w:p>
      <w:pPr>
        <w:numPr>
          <w:ilvl w:val="0"/>
          <w:numId w:val="1017"/>
        </w:numPr>
        <w:pStyle w:val="Compact"/>
      </w:pPr>
      <w:r>
        <w:rPr>
          <w:bCs/>
          <w:b/>
        </w:rPr>
        <w:t xml:space="preserve">Materials Acquisition &amp; Pre-processing (Scope 3 - Category 1):</w:t>
      </w:r>
      <w:r>
        <w:t xml:space="preserve"> </w:t>
      </w:r>
      <w:r>
        <w:t xml:space="preserve">This stage contributes the largest share (approximately 74%) of the total PCF, primarily driven by energy-intensive materials like Aluminum and the complexity of electronic components.</w:t>
      </w:r>
    </w:p>
    <w:p>
      <w:pPr>
        <w:numPr>
          <w:ilvl w:val="0"/>
          <w:numId w:val="1017"/>
        </w:numPr>
        <w:pStyle w:val="Compact"/>
      </w:pPr>
      <w:r>
        <w:rPr>
          <w:bCs/>
          <w:b/>
        </w:rPr>
        <w:t xml:space="preserve">Use Phase (Scope 3 - Category 11):</w:t>
      </w:r>
      <w:r>
        <w:t xml:space="preserve"> </w:t>
      </w:r>
      <w:r>
        <w:t xml:space="preserve">The electricity consumption during the product\'s lifespan accounts for a significant portion (approximately 33%) of the positive emissions, highlighting the impact of consumer energy choices and regional grid mixes.</w:t>
      </w:r>
    </w:p>
    <w:p>
      <w:pPr>
        <w:numPr>
          <w:ilvl w:val="0"/>
          <w:numId w:val="1017"/>
        </w:numPr>
        <w:pStyle w:val="Compact"/>
      </w:pPr>
      <w:r>
        <w:rPr>
          <w:bCs/>
          <w:b/>
        </w:rPr>
        <w:t xml:space="preserve">End-of-Life Treatment (Scope 3 - Category 12):</w:t>
      </w:r>
      <w:r>
        <w:t xml:space="preserve"> </w:t>
      </w:r>
      <w:r>
        <w:t xml:space="preserve">This stage shows a net carbon removal due to the high recyclability and the presence of circular programs, indicating a positive impact from circular economy initiatives.</w:t>
      </w:r>
    </w:p>
    <w:bookmarkEnd w:id="45"/>
    <w:bookmarkStart w:id="46" w:name="reliability-and-data-limitations"/>
    <w:p>
      <w:pPr>
        <w:pStyle w:val="Heading3"/>
      </w:pPr>
      <w:r>
        <w:t xml:space="preserve">Reliability and Data Limitations</w:t>
      </w:r>
    </w:p>
    <w:p>
      <w:pPr>
        <w:pStyle w:val="FirstParagraph"/>
      </w:pPr>
      <w:r>
        <w:t xml:space="preserve">The reliability of this PCF is good, relying on specific BOM data and established emission factors. However, it is subject to the following limitations:</w:t>
      </w:r>
    </w:p>
    <w:p>
      <w:pPr>
        <w:numPr>
          <w:ilvl w:val="0"/>
          <w:numId w:val="1018"/>
        </w:numPr>
        <w:pStyle w:val="Compact"/>
      </w:pPr>
      <w:r>
        <w:rPr>
          <w:bCs/>
          <w:b/>
        </w:rPr>
        <w:t xml:space="preserve">Assumed Emission Factors:</w:t>
      </w:r>
      <w:r>
        <w:t xml:space="preserve"> </w:t>
      </w:r>
      <w:r>
        <w:t xml:space="preserve">Industry-average emission factors were used for materials and some transport modes. Primary data from specific suppliers could further enhance accuracy.</w:t>
      </w:r>
    </w:p>
    <w:p>
      <w:pPr>
        <w:numPr>
          <w:ilvl w:val="0"/>
          <w:numId w:val="1018"/>
        </w:numPr>
        <w:pStyle w:val="Compact"/>
      </w:pPr>
      <w:r>
        <w:rPr>
          <w:bCs/>
          <w:b/>
        </w:rPr>
        <w:t xml:space="preserve">Placeholder Interpretations:</w:t>
      </w:r>
      <w:r>
        <w:t xml:space="preserve"> </w:t>
      </w:r>
      <w:r>
        <w:t xml:space="preserve">Numerical values for placeholder parameters (e.g., `xovemlzyxm`, `xnfostrdss`, `meuxsnlnds`, etc.) were based on reasonable assumptions for the given context. Actual values from epwoosqhgq\'s operations would provide more precise results.</w:t>
      </w:r>
    </w:p>
    <w:p>
      <w:pPr>
        <w:numPr>
          <w:ilvl w:val="0"/>
          <w:numId w:val="1018"/>
        </w:numPr>
        <w:pStyle w:val="Compact"/>
      </w:pPr>
      <w:r>
        <w:rPr>
          <w:bCs/>
          <w:b/>
        </w:rPr>
        <w:t xml:space="preserve">Dynamic Grid Mixes:</w:t>
      </w:r>
      <w:r>
        <w:t xml:space="preserve"> </w:t>
      </w:r>
      <w:r>
        <w:t xml:space="preserve">Electricity grid emission factors are dynamic and can vary by region and over time. The factors used are current estimates.</w:t>
      </w:r>
    </w:p>
    <w:p>
      <w:pPr>
        <w:numPr>
          <w:ilvl w:val="0"/>
          <w:numId w:val="1018"/>
        </w:numPr>
        <w:pStyle w:val="Compact"/>
      </w:pPr>
      <w:r>
        <w:rPr>
          <w:bCs/>
          <w:b/>
        </w:rPr>
        <w:t xml:space="preserve">LSR Standard Nuance:</w:t>
      </w:r>
      <w:r>
        <w:t xml:space="preserve"> </w:t>
      </w:r>
      <w:r>
        <w:t xml:space="preserve">While the LSR Standard is acknowledged, detailed land-use change emissions or removals specific to raw material sourcing were not quantifiable without specific primary data on land management practices for each material.</w:t>
      </w:r>
    </w:p>
    <w:bookmarkEnd w:id="46"/>
    <w:bookmarkStart w:id="48" w:name="recommendations"/>
    <w:p>
      <w:pPr>
        <w:pStyle w:val="Heading3"/>
      </w:pPr>
      <w:r>
        <w:t xml:space="preserve">Recommendations</w:t>
      </w:r>
    </w:p>
    <w:p>
      <w:pPr>
        <w:numPr>
          <w:ilvl w:val="0"/>
          <w:numId w:val="1019"/>
        </w:numPr>
        <w:pStyle w:val="Compact"/>
      </w:pPr>
      <w:r>
        <w:rPr>
          <w:bCs/>
          <w:b/>
        </w:rPr>
        <w:t xml:space="preserve">Material Optimization:</w:t>
      </w:r>
      <w:r>
        <w:t xml:space="preserve"> </w:t>
      </w:r>
      <w:r>
        <w:t xml:space="preserve">Focus on sourcing lower-carbon alternative materials, increasing recycled content, or lightweighting design, especially for high-impact materials like aluminum and electronics.</w:t>
      </w:r>
    </w:p>
    <w:p>
      <w:pPr>
        <w:numPr>
          <w:ilvl w:val="0"/>
          <w:numId w:val="1019"/>
        </w:numPr>
        <w:pStyle w:val="Compact"/>
      </w:pPr>
      <w:r>
        <w:rPr>
          <w:bCs/>
          <w:b/>
        </w:rPr>
        <w:t xml:space="preserve">Renewable Energy Sourcing:</w:t>
      </w:r>
      <w:r>
        <w:t xml:space="preserve"> </w:t>
      </w:r>
      <w:r>
        <w:t xml:space="preserve">Increase the percentage of renewable energy used in manufacturing operations beyond the assumed 75% to further reduce Scope 2 emissions. Encourage suppliers to do the same.</w:t>
      </w:r>
    </w:p>
    <w:p>
      <w:pPr>
        <w:numPr>
          <w:ilvl w:val="0"/>
          <w:numId w:val="1019"/>
        </w:numPr>
        <w:pStyle w:val="Compact"/>
      </w:pPr>
      <w:r>
        <w:rPr>
          <w:bCs/>
          <w:b/>
        </w:rPr>
        <w:t xml:space="preserve">Logistics Efficiency:</w:t>
      </w:r>
      <w:r>
        <w:t xml:space="preserve"> </w:t>
      </w:r>
      <w:r>
        <w:t xml:space="preserve">Explore opportunities to optimize transport routes, increase load factors, and consider lower-emission transport modes where feasible, especially for inbound logistics from Europe.</w:t>
      </w:r>
    </w:p>
    <w:p>
      <w:pPr>
        <w:numPr>
          <w:ilvl w:val="0"/>
          <w:numId w:val="1019"/>
        </w:numPr>
        <w:pStyle w:val="Compact"/>
      </w:pPr>
      <w:r>
        <w:rPr>
          <w:bCs/>
          <w:b/>
        </w:rPr>
        <w:t xml:space="preserve">Use Phase Efficiency:</w:t>
      </w:r>
      <w:r>
        <w:t xml:space="preserve"> </w:t>
      </w:r>
      <w:r>
        <w:t xml:space="preserve">Design kozoommweo for even greater energy efficiency during its use phase to reduce downstream Scope 3 emissions. Educate consumers on efficient product use.</w:t>
      </w:r>
    </w:p>
    <w:p>
      <w:pPr>
        <w:numPr>
          <w:ilvl w:val="0"/>
          <w:numId w:val="1019"/>
        </w:numPr>
        <w:pStyle w:val="Compact"/>
      </w:pPr>
      <w:r>
        <w:rPr>
          <w:bCs/>
          <w:b/>
        </w:rPr>
        <w:t xml:space="preserve">Enhance Circularity:</w:t>
      </w:r>
      <w:r>
        <w:t xml:space="preserve"> </w:t>
      </w:r>
      <w:r>
        <w:t xml:space="preserve">Continue to strengthen circular economy initiatives and take-back programs to maximize recyclability and material recovery, potentially increasing avoided emissions.</w:t>
      </w:r>
    </w:p>
    <w:p>
      <w:pPr>
        <w:numPr>
          <w:ilvl w:val="0"/>
          <w:numId w:val="1019"/>
        </w:numPr>
        <w:pStyle w:val="Compact"/>
      </w:pPr>
      <w:r>
        <w:rPr>
          <w:bCs/>
          <w:b/>
        </w:rPr>
        <w:t xml:space="preserve">Primary Data Collection:</w:t>
      </w:r>
      <w:r>
        <w:t xml:space="preserve"> </w:t>
      </w:r>
      <w:r>
        <w:t xml:space="preserve">Implement robust systems for collecting primary data from suppliers for material production, manufacturing processes, and detailed logistics, to continuously improve the accuracy and completeness of the PCF.</w:t>
      </w:r>
    </w:p>
    <w:p>
      <w:r>
        <w:pict>
          <v:rect style="width:0;height:1.5pt" o:hralign="center" o:hrstd="t" o:hr="t"/>
        </w:pict>
      </w:r>
    </w:p>
    <w:p>
      <w:pPr>
        <w:pStyle w:val="FirstParagraph"/>
      </w:pPr>
      <w:r>
        <w:t xml:space="preserve">Confidential - Internal Use Only | Page</w:t>
      </w:r>
      <w:r>
        <w:t xml:space="preserve"> </w:t>
      </w:r>
      <w:bookmarkStart w:id="47" w:name="page-num"/>
      <w:bookmarkEnd w:id="47"/>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kozoommweo</dc:title>
  <dc:creator/>
  <dc:description>Detailed Product Carbon Footprint (PCF) analysis report for kozoommweo by Senior Sustainability Consultant neifquityj for epwoosqhgq, adhering to GHG Protocol and 2026 updates.</dc:description>
  <dc:language>en</dc:language>
  <cp:keywords/>
  <dcterms:created xsi:type="dcterms:W3CDTF">2026-07-15T03:56:43Z</dcterms:created>
  <dcterms:modified xsi:type="dcterms:W3CDTF">2026-07-15T03:56:43Z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