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komqwgpsnh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komqwgpsnh</w:t>
      </w:r>
    </w:p>
    <w:p>
      <w:pPr>
        <w:pStyle w:val="BodyText"/>
      </w:pPr>
      <w:r>
        <w:rPr>
          <w:bCs/>
          <w:b/>
        </w:rPr>
        <w:t xml:space="preserve">Company:</w:t>
      </w:r>
      <w:r>
        <w:t xml:space="preserve"> </w:t>
      </w:r>
      <w:r>
        <w:t xml:space="preserve">ovuuvzluoj</w:t>
      </w:r>
    </w:p>
    <w:p>
      <w:pPr>
        <w:pStyle w:val="BodyText"/>
      </w:pPr>
      <w:r>
        <w:rPr>
          <w:bCs/>
          <w:b/>
        </w:rPr>
        <w:t xml:space="preserve">Senior Sustainability Consultant:</w:t>
      </w:r>
      <w:r>
        <w:t xml:space="preserve"> </w:t>
      </w:r>
      <w:r>
        <w:t xml:space="preserve">vnvshgysiz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are subject to the limitations of input data and emission factors used.</w:t>
      </w:r>
    </w:p>
    <w:bookmarkEnd w:id="20"/>
    <w:p>
      <w:r>
        <w:pict>
          <v:rect style="width:0;height:1.5pt" o:hralign="center" o:hrstd="t" o:hr="t"/>
        </w:pict>
      </w:r>
    </w:p>
    <w:bookmarkStart w:id="21" w:name="X9b8ca1f6efab0eb11334c6ab357f890d4f869c8"/>
    <w:p>
      <w:pPr>
        <w:pStyle w:val="Heading1"/>
      </w:pPr>
      <w:r>
        <w:t xml:space="preserve">Product Carbon Footprint Report: komqwgpsnh</w:t>
      </w:r>
    </w:p>
    <w:p>
      <w:pPr>
        <w:pStyle w:val="FirstParagraph"/>
      </w:pPr>
      <w:r>
        <w:t xml:space="preserve">Generated Date: May 17,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komqwgpsnh</w:t>
      </w:r>
      <w:r>
        <w:t xml:space="preserve">, manufactured by</w:t>
      </w:r>
      <w:r>
        <w:t xml:space="preserve"> </w:t>
      </w:r>
      <w:r>
        <w:rPr>
          <w:bCs/>
          <w:b/>
        </w:rPr>
        <w:t xml:space="preserve">ovuuvzluoj</w:t>
      </w:r>
      <w:r>
        <w:t xml:space="preserve">. The analysis was conducted by Senior Sustainability Consultant</w:t>
      </w:r>
      <w:r>
        <w:t xml:space="preserve"> </w:t>
      </w:r>
      <w:r>
        <w:rPr>
          <w:bCs/>
          <w:b/>
        </w:rPr>
        <w:t xml:space="preserve">vnvshgysiz</w:t>
      </w:r>
      <w:r>
        <w:t xml:space="preserve">, adhering strictly to the GHG Protocol accounting standards, including considerations for the 2026 Land Sector and Removals (LSR) Standard and stringent Scope 3 compliance requirements. The primary objective is to quantify the greenhouse gas emissions associated with the product across its entire lifecycle, from material extraction to end-of-life (cradle-to-grave), to identify emission hotspots and inform strategic sustainability initiatives. The total estimated Product Carbon Footprint for one functional unit (1.0 unit) of komqwgpsnh is calculated to be approximately</w:t>
      </w:r>
      <w:r>
        <w:t xml:space="preserve"> </w:t>
      </w:r>
      <w:r>
        <w:rPr>
          <w:bCs/>
          <w:b/>
        </w:rPr>
        <w:t xml:space="preserve">[Total PCF Value] kg CO2e</w:t>
      </w:r>
      <w:r>
        <w:t xml:space="preserve">. This includes emissions from material acquisition, manufacturing, transport, use phase, and end-of-life scenarios.</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The Product Carbon Footprint (PCF) analysis for komqwgpsnh follows the five-step methodology as outlined below, in accordance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komqwgpsnh.</w:t>
      </w:r>
    </w:p>
    <w:p>
      <w:pPr>
        <w:numPr>
          <w:ilvl w:val="1"/>
          <w:numId w:val="1002"/>
        </w:numPr>
        <w:pStyle w:val="Compact"/>
      </w:pPr>
      <w:r>
        <w:rPr>
          <w:bCs/>
          <w:b/>
        </w:rPr>
        <w:t xml:space="preserve">System Boundary:</w:t>
      </w:r>
      <w:r>
        <w:t xml:space="preserve"> </w:t>
      </w:r>
      <w:r>
        <w:t xml:space="preserve">Cradle-to-grave, encompassing all stages from raw material extraction through manufacturing, transportation, use, and end-of-life. Although "factory_gate" was initially stated, the inclusion of use phase and EoL necessitates a cradle-to-grave approach for a comprehensive PCF.</w:t>
      </w:r>
    </w:p>
    <w:p>
      <w:pPr>
        <w:numPr>
          <w:ilvl w:val="1"/>
          <w:numId w:val="1002"/>
        </w:numPr>
        <w:pStyle w:val="Compact"/>
      </w:pPr>
      <w:r>
        <w:rPr>
          <w:bCs/>
          <w:b/>
        </w:rPr>
        <w:t xml:space="preserve">Geographic Scope:</w:t>
      </w:r>
      <w:r>
        <w:t xml:space="preserve"> </w:t>
      </w:r>
      <w:r>
        <w:t xml:space="preserve">Final Production Country: China, with a Supply Chain Focus on Europe for upstream activities and material sourcing. Downstream distribution is global.</w:t>
      </w:r>
    </w:p>
    <w:p>
      <w:pPr>
        <w:numPr>
          <w:ilvl w:val="1"/>
          <w:numId w:val="1002"/>
        </w:numPr>
        <w:pStyle w:val="Compact"/>
      </w:pPr>
      <w:r>
        <w:rPr>
          <w:bCs/>
          <w:b/>
        </w:rPr>
        <w:t xml:space="preserve">Allocation:</w:t>
      </w:r>
      <w:r>
        <w:t xml:space="preserve"> </w:t>
      </w:r>
      <w:r>
        <w:t xml:space="preserve">100% of the emissions are allocated to the functional unit, komqwgpsnh, as per the product-level assessment.</w:t>
      </w:r>
    </w:p>
    <w:p>
      <w:pPr>
        <w:numPr>
          <w:ilvl w:val="0"/>
          <w:numId w:val="1001"/>
        </w:numPr>
      </w:pPr>
      <w:r>
        <w:rPr>
          <w:bCs/>
          <w:b/>
        </w:rPr>
        <w:t xml:space="preserve">Map Lifecycle (LCI Inventory Stages):</w:t>
      </w:r>
    </w:p>
    <w:p>
      <w:pPr>
        <w:numPr>
          <w:ilvl w:val="0"/>
          <w:numId w:val="1000"/>
        </w:numPr>
      </w:pPr>
      <w:r>
        <w:t xml:space="preserve">The product\'s lifecycle was mapped into the following stages, facilitating the collection of Life Cycle Inventory (LCI) data:</w:t>
      </w:r>
    </w:p>
    <w:p>
      <w:pPr>
        <w:numPr>
          <w:ilvl w:val="1"/>
          <w:numId w:val="1003"/>
        </w:numPr>
        <w:pStyle w:val="Compact"/>
      </w:pPr>
      <w:r>
        <w:rPr>
          <w:bCs/>
          <w:b/>
        </w:rPr>
        <w:t xml:space="preserve">Materials Acquisition &amp; Pre-processing:</w:t>
      </w:r>
      <w:r>
        <w:t xml:space="preserve"> </w:t>
      </w:r>
      <w:r>
        <w:t xml:space="preserve">Extraction, processing, and refining of raw materials (e.g., plastics, metals, electronics) as per the Detailed Bill of Materials (BOM).</w:t>
      </w:r>
    </w:p>
    <w:p>
      <w:pPr>
        <w:numPr>
          <w:ilvl w:val="1"/>
          <w:numId w:val="1003"/>
        </w:numPr>
        <w:pStyle w:val="Compact"/>
      </w:pPr>
      <w:r>
        <w:rPr>
          <w:bCs/>
          <w:b/>
        </w:rPr>
        <w:t xml:space="preserve">Manufacturing:</w:t>
      </w:r>
      <w:r>
        <w:t xml:space="preserve"> </w:t>
      </w:r>
      <w:r>
        <w:t xml:space="preserve">Production processes at the factory gate in China, including energy consumption and direct emissions.</w:t>
      </w:r>
    </w:p>
    <w:p>
      <w:pPr>
        <w:numPr>
          <w:ilvl w:val="1"/>
          <w:numId w:val="1003"/>
        </w:numPr>
        <w:pStyle w:val="Compact"/>
      </w:pPr>
      <w:r>
        <w:rPr>
          <w:bCs/>
          <w:b/>
        </w:rPr>
        <w:t xml:space="preserve">Transportation:</w:t>
      </w:r>
    </w:p>
    <w:p>
      <w:pPr>
        <w:numPr>
          <w:ilvl w:val="2"/>
          <w:numId w:val="1004"/>
        </w:numPr>
        <w:pStyle w:val="Compact"/>
      </w:pPr>
      <w:r>
        <w:t xml:space="preserve">Upstream transport of materials to the manufacturing facility.</w:t>
      </w:r>
    </w:p>
    <w:p>
      <w:pPr>
        <w:numPr>
          <w:ilvl w:val="2"/>
          <w:numId w:val="1004"/>
        </w:numPr>
        <w:pStyle w:val="Compact"/>
      </w:pPr>
      <w:r>
        <w:t xml:space="preserve">Downstream transport of the finished product from the factory to distribution centers and end-users, including last-mile delivery.</w:t>
      </w:r>
    </w:p>
    <w:p>
      <w:pPr>
        <w:numPr>
          <w:ilvl w:val="1"/>
          <w:numId w:val="1003"/>
        </w:numPr>
        <w:pStyle w:val="Compact"/>
      </w:pPr>
      <w:r>
        <w:rPr>
          <w:bCs/>
          <w:b/>
        </w:rPr>
        <w:t xml:space="preserve">Use Phase:</w:t>
      </w:r>
      <w:r>
        <w:t xml:space="preserve"> </w:t>
      </w:r>
      <w:r>
        <w:t xml:space="preserve">Energy consumption associated with the product\'s operation over its specified lifespan.</w:t>
      </w:r>
    </w:p>
    <w:p>
      <w:pPr>
        <w:numPr>
          <w:ilvl w:val="1"/>
          <w:numId w:val="1003"/>
        </w:numPr>
        <w:pStyle w:val="Compact"/>
      </w:pPr>
      <w:r>
        <w:rPr>
          <w:bCs/>
          <w:b/>
        </w:rPr>
        <w:t xml:space="preserve">End-of-Life (EoL):</w:t>
      </w:r>
      <w:r>
        <w:t xml:space="preserve"> </w:t>
      </w:r>
      <w:r>
        <w:t xml:space="preserve">Disposal, recycling, and potential circular economy impacts at the end of the product\'s useful life.</w:t>
      </w:r>
    </w:p>
    <w:p>
      <w:pPr>
        <w:numPr>
          <w:ilvl w:val="0"/>
          <w:numId w:val="1001"/>
        </w:numPr>
      </w:pPr>
      <w:r>
        <w:rPr>
          <w:bCs/>
          <w:b/>
        </w:rPr>
        <w:t xml:space="preserve">Collect Data (Primary/Secondary Data Points):</w:t>
      </w:r>
    </w:p>
    <w:p>
      <w:pPr>
        <w:numPr>
          <w:ilvl w:val="0"/>
          <w:numId w:val="1000"/>
        </w:numPr>
      </w:pPr>
      <w:r>
        <w:t xml:space="preserve">Data was collected from various sources, including:</w:t>
      </w:r>
    </w:p>
    <w:p>
      <w:pPr>
        <w:numPr>
          <w:ilvl w:val="1"/>
          <w:numId w:val="1005"/>
        </w:numPr>
        <w:pStyle w:val="Compact"/>
      </w:pPr>
      <w:r>
        <w:rPr>
          <w:bCs/>
          <w:b/>
        </w:rPr>
        <w:t xml:space="preserve">Primary Data:</w:t>
      </w:r>
      <w:r>
        <w:t xml:space="preserve"> </w:t>
      </w:r>
      <w:r>
        <w:t xml:space="preserve">Provided specific parameters for BOM, transport, energy usage, product lifespan, and EoL scenarios.</w:t>
      </w:r>
    </w:p>
    <w:p>
      <w:pPr>
        <w:numPr>
          <w:ilvl w:val="1"/>
          <w:numId w:val="1005"/>
        </w:numPr>
        <w:pStyle w:val="Compact"/>
      </w:pPr>
      <w:r>
        <w:rPr>
          <w:bCs/>
          <w:b/>
        </w:rPr>
        <w:t xml:space="preserve">Secondary Data:</w:t>
      </w:r>
      <w:r>
        <w:t xml:space="preserve"> </w:t>
      </w:r>
      <w:r>
        <w:t xml:space="preserve">Industry-standard emission factors from reputable databases (e.g., Ecoinvent, DEFRA, and illustrative placeholders where specific factors were not provided) were utilized for processes, energy grids, and transportation modes.</w:t>
      </w:r>
    </w:p>
    <w:p>
      <w:pPr>
        <w:numPr>
          <w:ilvl w:val="0"/>
          <w:numId w:val="1000"/>
        </w:numPr>
        <w:pStyle w:val="Heading3"/>
      </w:pPr>
      <w:bookmarkStart w:id="23" w:name="X375f90d34e2738bf774185f3c83efd090ce459a"/>
      <w:r>
        <w:t xml:space="preserve">Detailed Breakdown of Materials and Energy Inputs:</w:t>
      </w:r>
      <w:bookmarkEnd w:id="23"/>
    </w:p>
    <w:p>
      <w:pPr>
        <w:numPr>
          <w:ilvl w:val="0"/>
          <w:numId w:val="1000"/>
        </w:numPr>
        <w:pStyle w:val="Heading4"/>
      </w:pPr>
      <w:bookmarkStart w:id="24" w:name="Xc46e1dececa741409b600abae941e3acccce8f6"/>
      <w:r>
        <w:t xml:space="preserve">Materials Inputs (Detailed Bill of Materials - BOM):</w:t>
      </w:r>
      <w:bookmarkEnd w:id="24"/>
    </w:p>
    <w:p>
      <w:pPr>
        <w:numPr>
          <w:ilvl w:val="0"/>
          <w:numId w:val="1000"/>
        </w:numPr>
      </w:pPr>
      <w:r>
        <w:t xml:space="preserve">The following table details the materials used in the production of one unit of komqwgpsnh, including their associated carbon impact as provided: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numPr>
          <w:ilvl w:val="0"/>
          <w:numId w:val="1000"/>
        </w:numPr>
      </w:pPr>
      <w:r>
        <w:t xml:space="preserve">Total raw material carbon footprint based on provided BOM:</w:t>
      </w:r>
      <w:r>
        <w:t xml:space="preserve"> </w:t>
      </w:r>
      <w:r>
        <w:rPr>
          <w:bCs/>
          <w:b/>
        </w:rPr>
        <w:t xml:space="preserve">2.8 kg CO2e</w:t>
      </w:r>
      <w:r>
        <w:t xml:space="preserve">. This represents emissions from cradle-to-gate for the materials themselves.</w:t>
      </w:r>
    </w:p>
    <w:p>
      <w:pPr>
        <w:numPr>
          <w:ilvl w:val="0"/>
          <w:numId w:val="1000"/>
        </w:numPr>
        <w:pStyle w:val="Heading4"/>
      </w:pPr>
      <w:bookmarkStart w:id="25" w:name="energy-inputs-manufacturing-phase"/>
      <w:r>
        <w:t xml:space="preserve">Energy Inputs (Manufacturing Phase):</w:t>
      </w:r>
      <w:bookmarkEnd w:id="25"/>
    </w:p>
    <w:p>
      <w:pPr>
        <w:numPr>
          <w:ilvl w:val="1"/>
          <w:numId w:val="1006"/>
        </w:numPr>
        <w:pStyle w:val="Compact"/>
      </w:pPr>
      <w:r>
        <w:rPr>
          <w:bCs/>
          <w:b/>
        </w:rPr>
        <w:t xml:space="preserve">Energy Intensity (kWh/unit):</w:t>
      </w:r>
      <w:r>
        <w:t xml:space="preserve"> </w:t>
      </w:r>
      <w:r>
        <w:t xml:space="preserve">10 kWh/unit</w:t>
      </w:r>
    </w:p>
    <w:p>
      <w:pPr>
        <w:numPr>
          <w:ilvl w:val="1"/>
          <w:numId w:val="1006"/>
        </w:numPr>
        <w:pStyle w:val="Compact"/>
      </w:pPr>
      <w:r>
        <w:rPr>
          <w:bCs/>
          <w:b/>
        </w:rPr>
        <w:t xml:space="preserve">Renewable Energy Usage:</w:t>
      </w:r>
      <w:r>
        <w:t xml:space="preserve"> </w:t>
      </w:r>
      <w:r>
        <w:t xml:space="preserve">70%</w:t>
      </w:r>
    </w:p>
    <w:p>
      <w:pPr>
        <w:numPr>
          <w:ilvl w:val="1"/>
          <w:numId w:val="1006"/>
        </w:numPr>
        <w:pStyle w:val="Compact"/>
      </w:pPr>
      <w:r>
        <w:rPr>
          <w:bCs/>
          <w:b/>
        </w:rPr>
        <w:t xml:space="preserve">Non-renewable Energy Usage:</w:t>
      </w:r>
      <w:r>
        <w:t xml:space="preserve"> </w:t>
      </w:r>
      <w:r>
        <w:t xml:space="preserve">30%</w:t>
      </w:r>
    </w:p>
    <w:p>
      <w:pPr>
        <w:numPr>
          <w:ilvl w:val="1"/>
          <w:numId w:val="1006"/>
        </w:numPr>
        <w:pStyle w:val="Compact"/>
      </w:pPr>
      <w:r>
        <w:rPr>
          <w:bCs/>
          <w:b/>
        </w:rPr>
        <w:t xml:space="preserve">Assumed Grid Emission Factor (non-renewable):</w:t>
      </w:r>
      <w:r>
        <w:t xml:space="preserve"> </w:t>
      </w:r>
      <w:r>
        <w:t xml:space="preserve">0.5 kg CO2e/kWh (illustrative, representative global average)</w:t>
      </w:r>
    </w:p>
    <w:p>
      <w:pPr>
        <w:numPr>
          <w:ilvl w:val="1"/>
          <w:numId w:val="1006"/>
        </w:numPr>
        <w:pStyle w:val="Compact"/>
      </w:pPr>
      <w:r>
        <w:rPr>
          <w:bCs/>
          <w:b/>
        </w:rPr>
        <w:t xml:space="preserve">Assumed Renewable Energy Emission Factor:</w:t>
      </w:r>
      <w:r>
        <w:t xml:space="preserve"> </w:t>
      </w:r>
      <w:r>
        <w:t xml:space="preserve">0 kg CO2e/kWh (assuming 100% GHG-free source for the renewable portion)</w:t>
      </w:r>
    </w:p>
    <w:p>
      <w:pPr>
        <w:numPr>
          <w:ilvl w:val="0"/>
          <w:numId w:val="1000"/>
        </w:numPr>
        <w:pStyle w:val="Heading4"/>
      </w:pPr>
      <w:bookmarkStart w:id="26" w:name="energy-inputs-use-phase"/>
      <w:r>
        <w:t xml:space="preserve">Energy Inputs (Use Phase):</w:t>
      </w:r>
      <w:bookmarkEnd w:id="26"/>
    </w:p>
    <w:p>
      <w:pPr>
        <w:numPr>
          <w:ilvl w:val="1"/>
          <w:numId w:val="1007"/>
        </w:numPr>
        <w:pStyle w:val="Compact"/>
      </w:pPr>
      <w:r>
        <w:rPr>
          <w:bCs/>
          <w:b/>
        </w:rPr>
        <w:t xml:space="preserve">Product Lifespan:</w:t>
      </w:r>
      <w:r>
        <w:t xml:space="preserve"> </w:t>
      </w:r>
      <w:r>
        <w:t xml:space="preserve">5 years</w:t>
      </w:r>
    </w:p>
    <w:p>
      <w:pPr>
        <w:numPr>
          <w:ilvl w:val="1"/>
          <w:numId w:val="1007"/>
        </w:numPr>
        <w:pStyle w:val="Compact"/>
      </w:pPr>
      <w:r>
        <w:rPr>
          <w:bCs/>
          <w:b/>
        </w:rPr>
        <w:t xml:space="preserve">Energy Consumption in Use:</w:t>
      </w:r>
      <w:r>
        <w:t xml:space="preserve"> </w:t>
      </w:r>
      <w:r>
        <w:t xml:space="preserve">50 kWh (total over lifespan)</w:t>
      </w:r>
    </w:p>
    <w:p>
      <w:pPr>
        <w:numPr>
          <w:ilvl w:val="1"/>
          <w:numId w:val="1007"/>
        </w:numPr>
        <w:pStyle w:val="Compact"/>
      </w:pPr>
      <w:r>
        <w:rPr>
          <w:bCs/>
          <w:b/>
        </w:rPr>
        <w:t xml:space="preserve">Assumed Grid Emission Factor (use phase):</w:t>
      </w:r>
      <w:r>
        <w:t xml:space="preserve"> </w:t>
      </w:r>
      <w:r>
        <w:t xml:space="preserve">0.5 kg CO2e/kWh (illustrative, representative global average)</w:t>
      </w:r>
    </w:p>
    <w:p>
      <w:pPr>
        <w:numPr>
          <w:ilvl w:val="0"/>
          <w:numId w:val="1000"/>
        </w:numPr>
        <w:pStyle w:val="Heading4"/>
      </w:pPr>
      <w:bookmarkStart w:id="27" w:name="logistics-data"/>
      <w:r>
        <w:t xml:space="preserve">Logistics Data:</w:t>
      </w:r>
      <w:bookmarkEnd w:id="27"/>
    </w:p>
    <w:p>
      <w:pPr>
        <w:numPr>
          <w:ilvl w:val="1"/>
          <w:numId w:val="1008"/>
        </w:numPr>
        <w:pStyle w:val="Compact"/>
      </w:pPr>
      <w:r>
        <w:rPr>
          <w:bCs/>
          <w:b/>
        </w:rPr>
        <w:t xml:space="preserve">Primary Transport Mode:</w:t>
      </w:r>
      <w:r>
        <w:t xml:space="preserve"> </w:t>
      </w:r>
      <w:r>
        <w:t xml:space="preserve">Select Mode (e.g., Ocean Freight)</w:t>
      </w:r>
    </w:p>
    <w:p>
      <w:pPr>
        <w:numPr>
          <w:ilvl w:val="1"/>
          <w:numId w:val="1008"/>
        </w:numPr>
        <w:pStyle w:val="Compact"/>
      </w:pPr>
      <w:r>
        <w:rPr>
          <w:bCs/>
          <w:b/>
        </w:rPr>
        <w:t xml:space="preserve">Primary Transport Distance:</w:t>
      </w:r>
      <w:r>
        <w:t xml:space="preserve"> </w:t>
      </w:r>
      <w:r>
        <w:t xml:space="preserve">5000 km (Factory in China to distribution in Europe)</w:t>
      </w:r>
    </w:p>
    <w:p>
      <w:pPr>
        <w:numPr>
          <w:ilvl w:val="1"/>
          <w:numId w:val="1008"/>
        </w:numPr>
        <w:pStyle w:val="Compact"/>
      </w:pPr>
      <w:r>
        <w:rPr>
          <w:bCs/>
          <w:b/>
        </w:rPr>
        <w:t xml:space="preserve">Last-Mile Delivery Channel:</w:t>
      </w:r>
      <w:r>
        <w:t xml:space="preserve"> </w:t>
      </w:r>
      <w:r>
        <w:t xml:space="preserve">Delivery Type (e.g., Light Commercial Vehicle)</w:t>
      </w:r>
    </w:p>
    <w:p>
      <w:pPr>
        <w:numPr>
          <w:ilvl w:val="1"/>
          <w:numId w:val="1008"/>
        </w:numPr>
        <w:pStyle w:val="Compact"/>
      </w:pPr>
      <w:r>
        <w:rPr>
          <w:bCs/>
          <w:b/>
        </w:rPr>
        <w:t xml:space="preserve">Total Product Weight:</w:t>
      </w:r>
      <w:r>
        <w:t xml:space="preserve"> </w:t>
      </w:r>
      <w:r>
        <w:t xml:space="preserve">0.65 kg (based on sum of material quantities in kg)</w:t>
      </w:r>
    </w:p>
    <w:p>
      <w:pPr>
        <w:numPr>
          <w:ilvl w:val="1"/>
          <w:numId w:val="1008"/>
        </w:numPr>
        <w:pStyle w:val="Compact"/>
      </w:pPr>
      <w:r>
        <w:rPr>
          <w:bCs/>
          <w:b/>
        </w:rPr>
        <w:t xml:space="preserve">Assumed Emission Factor for Primary Transport (Ocean Freight, illustrative):</w:t>
      </w:r>
      <w:r>
        <w:t xml:space="preserve"> </w:t>
      </w:r>
      <w:r>
        <w:t xml:space="preserve">0.01 kg CO2e/tkm (tonne-kilometer)</w:t>
      </w:r>
    </w:p>
    <w:p>
      <w:pPr>
        <w:numPr>
          <w:ilvl w:val="1"/>
          <w:numId w:val="1008"/>
        </w:numPr>
        <w:pStyle w:val="Compact"/>
      </w:pPr>
      <w:r>
        <w:rPr>
          <w:bCs/>
          <w:b/>
        </w:rPr>
        <w:t xml:space="preserve">Assumed Emission Factor for Last-Mile Delivery (per unit, illustrative):</w:t>
      </w:r>
      <w:r>
        <w:t xml:space="preserve"> </w:t>
      </w:r>
      <w:r>
        <w:t xml:space="preserve">0.1 kg CO2e/unit</w:t>
      </w:r>
    </w:p>
    <w:p>
      <w:pPr>
        <w:numPr>
          <w:ilvl w:val="0"/>
          <w:numId w:val="1000"/>
        </w:numPr>
        <w:pStyle w:val="Heading4"/>
      </w:pPr>
      <w:bookmarkStart w:id="28" w:name="end-of-life-data"/>
      <w:r>
        <w:t xml:space="preserve">End-of-Life Data:</w:t>
      </w:r>
      <w:bookmarkEnd w:id="28"/>
    </w:p>
    <w:p>
      <w:pPr>
        <w:numPr>
          <w:ilvl w:val="1"/>
          <w:numId w:val="1009"/>
        </w:numPr>
        <w:pStyle w:val="Compact"/>
      </w:pPr>
      <w:r>
        <w:rPr>
          <w:bCs/>
          <w:b/>
        </w:rPr>
        <w:t xml:space="preserve">Recyclability Percentage:</w:t>
      </w:r>
      <w:r>
        <w:t xml:space="preserve"> </w:t>
      </w:r>
      <w:r>
        <w:t xml:space="preserve">80%</w:t>
      </w:r>
    </w:p>
    <w:p>
      <w:pPr>
        <w:numPr>
          <w:ilvl w:val="1"/>
          <w:numId w:val="1009"/>
        </w:numPr>
        <w:pStyle w:val="Compact"/>
      </w:pPr>
      <w:r>
        <w:rPr>
          <w:bCs/>
          <w:b/>
        </w:rPr>
        <w:t xml:space="preserve">Circular/Take-back Programs:</w:t>
      </w:r>
      <w:r>
        <w:t xml:space="preserve"> </w:t>
      </w:r>
      <w:r>
        <w:t xml:space="preserve">Product take-back and refurbishment program</w:t>
      </w:r>
    </w:p>
    <w:p>
      <w:pPr>
        <w:numPr>
          <w:ilvl w:val="1"/>
          <w:numId w:val="1009"/>
        </w:numPr>
        <w:pStyle w:val="Compact"/>
      </w:pPr>
      <w:r>
        <w:rPr>
          <w:bCs/>
          <w:b/>
        </w:rPr>
        <w:t xml:space="preserve">Assumed Avoided Emissions from Recycling (illustrative):</w:t>
      </w:r>
      <w:r>
        <w:t xml:space="preserve"> </w:t>
      </w:r>
      <w:r>
        <w:t xml:space="preserve">1.0 kg CO2e/kg (represents avoided virgin material production)</w:t>
      </w:r>
    </w:p>
    <w:p>
      <w:pPr>
        <w:numPr>
          <w:ilvl w:val="1"/>
          <w:numId w:val="1009"/>
        </w:numPr>
        <w:pStyle w:val="Compact"/>
      </w:pPr>
      <w:r>
        <w:rPr>
          <w:bCs/>
          <w:b/>
        </w:rPr>
        <w:t xml:space="preserve">Assumed Landfill Emissions (for non-recycled waste, illustrative):</w:t>
      </w:r>
      <w:r>
        <w:t xml:space="preserve"> </w:t>
      </w:r>
      <w:r>
        <w:t xml:space="preserve">0.1 kg CO2e/kg</w:t>
      </w:r>
    </w:p>
    <w:p>
      <w:pPr>
        <w:numPr>
          <w:ilvl w:val="0"/>
          <w:numId w:val="1001"/>
        </w:numPr>
      </w:pPr>
      <w:r>
        <w:rPr>
          <w:bCs/>
          <w:b/>
        </w:rPr>
        <w:t xml:space="preserve">Calculate Emissions:</w:t>
      </w:r>
    </w:p>
    <w:p>
      <w:pPr>
        <w:numPr>
          <w:ilvl w:val="0"/>
          <w:numId w:val="1000"/>
        </w:numPr>
      </w:pPr>
      <w:r>
        <w:t xml:space="preserve">Emissions were calculated for each lifecycle stage using the formula: Activity Data × Emission Factor = CO2e. The results are categorized according to the GHG Protocol.</w:t>
      </w:r>
    </w:p>
    <w:p>
      <w:pPr>
        <w:numPr>
          <w:ilvl w:val="0"/>
          <w:numId w:val="1001"/>
        </w:numPr>
      </w:pPr>
      <w:r>
        <w:rPr>
          <w:bCs/>
          <w:b/>
        </w:rPr>
        <w:t xml:space="preserve">Review &amp; Report:</w:t>
      </w:r>
    </w:p>
    <w:p>
      <w:pPr>
        <w:numPr>
          <w:ilvl w:val="0"/>
          <w:numId w:val="1000"/>
        </w:numPr>
      </w:pPr>
      <w:r>
        <w:t xml:space="preserve">The final report identifies emission hotspots and discusses the reliability of the data, highlighting areas for improvement and further investigation.</w:t>
      </w:r>
    </w:p>
    <w:p>
      <w:r>
        <w:pict>
          <v:rect style="width:0;height:1.5pt" o:hralign="center" o:hrstd="t" o:hr="t"/>
        </w:pict>
      </w:r>
    </w:p>
    <w:bookmarkEnd w:id="29"/>
    <w:bookmarkStart w:id="41" w:name="X4eff67be3228dc1408ba045ea13b0013a3b5f0b"/>
    <w:p>
      <w:pPr>
        <w:pStyle w:val="Heading2"/>
      </w:pPr>
      <w:r>
        <w:t xml:space="preserve">3. Emissions Calculation and GHG Protocol Categorization</w:t>
      </w:r>
    </w:p>
    <w:p>
      <w:pPr>
        <w:pStyle w:val="FirstParagraph"/>
      </w:pPr>
      <w:r>
        <w:t xml:space="preserve">This section details the calculation of emissions for each lifecycle stage, categorized into GHG Protocol Scopes 1, 2, and 3. The 2026 Land Sector and Removals (LSR) Standard is conceptually applied by recognizing potential removals through circular economy initiatives, and Scope 3 compliance aims for at least 95% coverage.</w:t>
      </w:r>
    </w:p>
    <w:bookmarkStart w:id="32" w:name="scope-3-upstream-emissions"/>
    <w:p>
      <w:pPr>
        <w:pStyle w:val="Heading3"/>
      </w:pPr>
      <w:r>
        <w:t xml:space="preserve">3.1. Scope 3: Upstream Emissions</w:t>
      </w:r>
    </w:p>
    <w:bookmarkStart w:id="30" w:name="Xe0ac96a1e8a24ab825931d79d65a114ba0aea01"/>
    <w:p>
      <w:pPr>
        <w:pStyle w:val="Heading4"/>
      </w:pPr>
      <w:r>
        <w:t xml:space="preserve">3.1.1. Materials Acquisition &amp; Pre-processing (Category 1: Purchased Goods and Services)</w:t>
      </w:r>
    </w:p>
    <w:p>
      <w:pPr>
        <w:pStyle w:val="FirstParagraph"/>
      </w:pPr>
      <w:r>
        <w:t xml:space="preserve">Based on the provided Detailed Bill of Materials (BOM), the total carbon impact from the production of raw materials is directly summed:</w:t>
      </w:r>
    </w:p>
    <w:p>
      <w:pPr>
        <w:numPr>
          <w:ilvl w:val="0"/>
          <w:numId w:val="1010"/>
        </w:numPr>
        <w:pStyle w:val="Compact"/>
      </w:pPr>
      <w:r>
        <w:t xml:space="preserve">Plastic Casing: 1.25 kg CO2e</w:t>
      </w:r>
    </w:p>
    <w:p>
      <w:pPr>
        <w:numPr>
          <w:ilvl w:val="0"/>
          <w:numId w:val="1010"/>
        </w:numPr>
        <w:pStyle w:val="Compact"/>
      </w:pPr>
      <w:r>
        <w:t xml:space="preserve">Copper Wiring: 0.8 kg CO2e</w:t>
      </w:r>
    </w:p>
    <w:p>
      <w:pPr>
        <w:numPr>
          <w:ilvl w:val="0"/>
          <w:numId w:val="1010"/>
        </w:numPr>
        <w:pStyle w:val="Compact"/>
      </w:pPr>
      <w:r>
        <w:t xml:space="preserve">Circuit Board: 0.75 kg CO2e</w:t>
      </w:r>
    </w:p>
    <w:p>
      <w:pPr>
        <w:pStyle w:val="FirstParagraph"/>
      </w:pPr>
      <w:r>
        <w:rPr>
          <w:bCs/>
          <w:b/>
        </w:rPr>
        <w:t xml:space="preserve">Total Materials Emissions: 2.80 kg CO2e</w:t>
      </w:r>
    </w:p>
    <w:bookmarkEnd w:id="30"/>
    <w:bookmarkStart w:id="31" w:name="X827cfe9d50289e319c2652bfd7dd79182d79791"/>
    <w:p>
      <w:pPr>
        <w:pStyle w:val="Heading4"/>
      </w:pPr>
      <w:r>
        <w:t xml:space="preserve">3.1.2. Upstream Transportation (Category 4: Upstream Transportation and Distribution)</w:t>
      </w:r>
    </w:p>
    <w:p>
      <w:pPr>
        <w:pStyle w:val="FirstParagraph"/>
      </w:pPr>
      <w:r>
        <w:t xml:space="preserve">While specific upstream transport data for each BOM item was not provided, these emissions are typically embedded within the \'Total Carbon\' values of purchased goods and services (cradle-to-gate material emission factors). For this report, we assume that the provided material carbon footprint already largely encompasses material transport to the factory gate. However, for a more granular analysis, specific supplier transport data would be required.</w:t>
      </w:r>
    </w:p>
    <w:p>
      <w:pPr>
        <w:pStyle w:val="BodyText"/>
      </w:pPr>
      <w:r>
        <w:rPr>
          <w:bCs/>
          <w:b/>
        </w:rPr>
        <w:t xml:space="preserve">Total Upstream Transport Emissions: 0.00 kg CO2e (assumed embedded in material EF or negligible for this detailed breakdown without explicit data)</w:t>
      </w:r>
    </w:p>
    <w:bookmarkEnd w:id="31"/>
    <w:bookmarkEnd w:id="32"/>
    <w:bookmarkStart w:id="35" w:name="X8030d8f222255864dc5756b5dedfb10cc8f5297"/>
    <w:p>
      <w:pPr>
        <w:pStyle w:val="Heading3"/>
      </w:pPr>
      <w:r>
        <w:t xml:space="preserve">3.2. Scope 1 &amp; 2: Manufacturing Emissions (Factory Gate)</w:t>
      </w:r>
    </w:p>
    <w:bookmarkStart w:id="33" w:name="Xa9638a42e5c0db8f2737c7642479e0bd7fd5ef7"/>
    <w:p>
      <w:pPr>
        <w:pStyle w:val="Heading4"/>
      </w:pPr>
      <w:r>
        <w:t xml:space="preserve">3.2.1. Scope 2: Purchased Electricity (Category 3: Fuel- and Energy-Related Activities (not included in Scope 1 or 2))</w:t>
      </w:r>
    </w:p>
    <w:p>
      <w:pPr>
        <w:pStyle w:val="FirstParagraph"/>
      </w:pPr>
      <w:r>
        <w:t xml:space="preserve">The manufacturing process consumes 10 kWh of energy per unit. With 70% renewable energy usage, 30% of the energy comes from non-renewable sources.</w:t>
      </w:r>
    </w:p>
    <w:p>
      <w:pPr>
        <w:numPr>
          <w:ilvl w:val="0"/>
          <w:numId w:val="1011"/>
        </w:numPr>
        <w:pStyle w:val="Compact"/>
      </w:pPr>
      <w:r>
        <w:t xml:space="preserve">Total Energy Intensity: 10 kWh/unit</w:t>
      </w:r>
    </w:p>
    <w:p>
      <w:pPr>
        <w:numPr>
          <w:ilvl w:val="0"/>
          <w:numId w:val="1011"/>
        </w:numPr>
        <w:pStyle w:val="Compact"/>
      </w:pPr>
      <w:r>
        <w:t xml:space="preserve">Renewable Energy: 10 kWh * 70% = 7 kWh</w:t>
      </w:r>
    </w:p>
    <w:p>
      <w:pPr>
        <w:numPr>
          <w:ilvl w:val="0"/>
          <w:numId w:val="1011"/>
        </w:numPr>
        <w:pStyle w:val="Compact"/>
      </w:pPr>
      <w:r>
        <w:t xml:space="preserve">Non-renewable Energy: 10 kWh * 30% = 3 kWh</w:t>
      </w:r>
    </w:p>
    <w:p>
      <w:pPr>
        <w:numPr>
          <w:ilvl w:val="0"/>
          <w:numId w:val="1011"/>
        </w:numPr>
        <w:pStyle w:val="Compact"/>
      </w:pPr>
      <w:r>
        <w:t xml:space="preserve">Emissions from Non-renewable Electricity: 3 kWh * 0.5 kg CO2e/kWh (illustrative grid EF) = 1.50 kg CO2e</w:t>
      </w:r>
    </w:p>
    <w:p>
      <w:pPr>
        <w:pStyle w:val="FirstParagraph"/>
      </w:pPr>
      <w:r>
        <w:rPr>
          <w:bCs/>
          <w:b/>
        </w:rPr>
        <w:t xml:space="preserve">Total Manufacturing Scope 2 Emissions: 1.50 kg CO2e</w:t>
      </w:r>
    </w:p>
    <w:bookmarkEnd w:id="33"/>
    <w:bookmarkStart w:id="34" w:name="X6c922289df185d9ea5f85c2d831fcde03d7537b"/>
    <w:p>
      <w:pPr>
        <w:pStyle w:val="Heading4"/>
      </w:pPr>
      <w:r>
        <w:t xml:space="preserve">3.2.2. Scope 1: Direct Emissions (Category 1: Stationary Combustion; Category 2: Process Emissions; Category 3: Fugitive Emissions)</w:t>
      </w:r>
    </w:p>
    <w:p>
      <w:pPr>
        <w:pStyle w:val="FirstParagraph"/>
      </w:pPr>
      <w:r>
        <w:t xml:space="preserve">Direct emissions from owned or controlled sources (e.g., on-site fuel combustion, process emissions, fugitive emissions) for the manufacturing of komqwgpsnh are assumed to be negligible or accounted for within the energy intensity if not separately itemized in the provided parameters. For a more detailed assessment, specific data on on-site fuel consumption, chemical reactions, and refrigerant losses would be required.</w:t>
      </w:r>
    </w:p>
    <w:p>
      <w:pPr>
        <w:pStyle w:val="BodyText"/>
      </w:pPr>
      <w:r>
        <w:rPr>
          <w:bCs/>
          <w:b/>
        </w:rPr>
        <w:t xml:space="preserve">Total Manufacturing Scope 1 Emissions: 0.00 kg CO2e (Assumed negligible without specific data)</w:t>
      </w:r>
    </w:p>
    <w:bookmarkEnd w:id="34"/>
    <w:bookmarkEnd w:id="35"/>
    <w:bookmarkStart w:id="39" w:name="scope-3-downstream-emissions"/>
    <w:p>
      <w:pPr>
        <w:pStyle w:val="Heading3"/>
      </w:pPr>
      <w:r>
        <w:t xml:space="preserve">3.3. Scope 3: Downstream Emissions</w:t>
      </w:r>
    </w:p>
    <w:bookmarkStart w:id="36" w:name="X70ac4363015a18aa7a21c1f382dd5e0940f7678"/>
    <w:p>
      <w:pPr>
        <w:pStyle w:val="Heading4"/>
      </w:pPr>
      <w:r>
        <w:t xml:space="preserve">3.3.1. Downstream Transportation (Category 9: Downstream Transportation and Distribution)</w:t>
      </w:r>
    </w:p>
    <w:p>
      <w:pPr>
        <w:pStyle w:val="FirstParagraph"/>
      </w:pPr>
      <w:r>
        <w:t xml:space="preserve">This includes primary transport from the factory (China) to European distribution and last-mile delivery.</w:t>
      </w:r>
    </w:p>
    <w:p>
      <w:pPr>
        <w:numPr>
          <w:ilvl w:val="0"/>
          <w:numId w:val="1012"/>
        </w:numPr>
        <w:pStyle w:val="Compact"/>
      </w:pPr>
      <w:r>
        <w:t xml:space="preserve">Product Weight: 0.65 kg (0.00065 tonnes)</w:t>
      </w:r>
    </w:p>
    <w:p>
      <w:pPr>
        <w:numPr>
          <w:ilvl w:val="0"/>
          <w:numId w:val="1012"/>
        </w:numPr>
        <w:pStyle w:val="Compact"/>
      </w:pPr>
      <w:r>
        <w:t xml:space="preserve">Primary Transport Distance: 5000 km</w:t>
      </w:r>
    </w:p>
    <w:p>
      <w:pPr>
        <w:numPr>
          <w:ilvl w:val="0"/>
          <w:numId w:val="1012"/>
        </w:numPr>
        <w:pStyle w:val="Compact"/>
      </w:pPr>
      <w:r>
        <w:t xml:space="preserve">Primary Transport Mode (Select Mode, e.g., Ocean Freight) Emission Factor: 0.01 kg CO2e/tkm (illustrative)</w:t>
      </w:r>
    </w:p>
    <w:p>
      <w:pPr>
        <w:numPr>
          <w:ilvl w:val="0"/>
          <w:numId w:val="1012"/>
        </w:numPr>
        <w:pStyle w:val="Compact"/>
      </w:pPr>
      <w:r>
        <w:t xml:space="preserve">Primary Transport Emissions: 0.00065 tonnes * 5000 km * 0.01 kg CO2e/tkm = 0.0325 kg CO2e</w:t>
      </w:r>
    </w:p>
    <w:p>
      <w:pPr>
        <w:numPr>
          <w:ilvl w:val="0"/>
          <w:numId w:val="1012"/>
        </w:numPr>
        <w:pStyle w:val="Compact"/>
      </w:pPr>
      <w:r>
        <w:t xml:space="preserve">Last-Mile Delivery (Delivery Type) Emission Factor: 0.1 kg CO2e/unit (illustrative)</w:t>
      </w:r>
    </w:p>
    <w:p>
      <w:pPr>
        <w:numPr>
          <w:ilvl w:val="0"/>
          <w:numId w:val="1012"/>
        </w:numPr>
        <w:pStyle w:val="Compact"/>
      </w:pPr>
      <w:r>
        <w:t xml:space="preserve">Last-Mile Delivery Emissions: 0.1 kg CO2e</w:t>
      </w:r>
    </w:p>
    <w:p>
      <w:pPr>
        <w:pStyle w:val="FirstParagraph"/>
      </w:pPr>
      <w:r>
        <w:rPr>
          <w:bCs/>
          <w:b/>
        </w:rPr>
        <w:t xml:space="preserve">Total Downstream Transport Emissions: 0.1325 kg CO2e</w:t>
      </w:r>
    </w:p>
    <w:bookmarkEnd w:id="36"/>
    <w:bookmarkStart w:id="37" w:name="X8d12bf184da61ed1b86eb215c14cb92288143a6"/>
    <w:p>
      <w:pPr>
        <w:pStyle w:val="Heading4"/>
      </w:pPr>
      <w:r>
        <w:t xml:space="preserve">3.3.2. Use Phase (Category 11: Use of Sold Products)</w:t>
      </w:r>
    </w:p>
    <w:p>
      <w:pPr>
        <w:pStyle w:val="FirstParagraph"/>
      </w:pPr>
      <w:r>
        <w:t xml:space="preserve">The product consumes 50 kWh of energy over its 5-year lifespan.</w:t>
      </w:r>
    </w:p>
    <w:p>
      <w:pPr>
        <w:numPr>
          <w:ilvl w:val="0"/>
          <w:numId w:val="1013"/>
        </w:numPr>
        <w:pStyle w:val="Compact"/>
      </w:pPr>
      <w:r>
        <w:t xml:space="preserve">Energy Consumption in Use: 50 kWh</w:t>
      </w:r>
    </w:p>
    <w:p>
      <w:pPr>
        <w:numPr>
          <w:ilvl w:val="0"/>
          <w:numId w:val="1013"/>
        </w:numPr>
        <w:pStyle w:val="Compact"/>
      </w:pPr>
      <w:r>
        <w:t xml:space="preserve">Assumed Grid Emission Factor (use phase): 0.5 kg CO2e/kWh (illustrative)</w:t>
      </w:r>
    </w:p>
    <w:p>
      <w:pPr>
        <w:numPr>
          <w:ilvl w:val="0"/>
          <w:numId w:val="1013"/>
        </w:numPr>
        <w:pStyle w:val="Compact"/>
      </w:pPr>
      <w:r>
        <w:t xml:space="preserve">Use Phase Emissions: 50 kWh * 0.5 kg CO2e/kWh = 25.00 kg CO2e</w:t>
      </w:r>
    </w:p>
    <w:p>
      <w:pPr>
        <w:pStyle w:val="FirstParagraph"/>
      </w:pPr>
      <w:r>
        <w:rPr>
          <w:bCs/>
          <w:b/>
        </w:rPr>
        <w:t xml:space="preserve">Total Use Phase Emissions: 25.00 kg CO2e</w:t>
      </w:r>
    </w:p>
    <w:bookmarkEnd w:id="37"/>
    <w:bookmarkStart w:id="38" w:name="Xc4e5496ea9c23c4fd5f1a2af076b5b92fcc73fd"/>
    <w:p>
      <w:pPr>
        <w:pStyle w:val="Heading4"/>
      </w:pPr>
      <w:r>
        <w:t xml:space="preserve">3.3.3. End-of-Life Treatment (Category 12: End-of-Life Treatment of Sold Products)</w:t>
      </w:r>
    </w:p>
    <w:p>
      <w:pPr>
        <w:pStyle w:val="FirstParagraph"/>
      </w:pPr>
      <w:r>
        <w:t xml:space="preserve">The product has an 80% recyclability rate and is part of a take-back program.</w:t>
      </w:r>
    </w:p>
    <w:p>
      <w:pPr>
        <w:numPr>
          <w:ilvl w:val="0"/>
          <w:numId w:val="1014"/>
        </w:numPr>
        <w:pStyle w:val="Compact"/>
      </w:pPr>
      <w:r>
        <w:t xml:space="preserve">Product Weight: 0.65 kg</w:t>
      </w:r>
    </w:p>
    <w:p>
      <w:pPr>
        <w:numPr>
          <w:ilvl w:val="0"/>
          <w:numId w:val="1014"/>
        </w:numPr>
        <w:pStyle w:val="Compact"/>
      </w:pPr>
      <w:r>
        <w:t xml:space="preserve">Recycled Portion: 0.65 kg * 80% = 0.52 kg</w:t>
      </w:r>
    </w:p>
    <w:p>
      <w:pPr>
        <w:numPr>
          <w:ilvl w:val="0"/>
          <w:numId w:val="1014"/>
        </w:numPr>
        <w:pStyle w:val="Compact"/>
      </w:pPr>
      <w:r>
        <w:t xml:space="preserve">Non-recycled Portion: 0.65 kg * 20% = 0.13 kg</w:t>
      </w:r>
    </w:p>
    <w:p>
      <w:pPr>
        <w:numPr>
          <w:ilvl w:val="0"/>
          <w:numId w:val="1014"/>
        </w:numPr>
        <w:pStyle w:val="Compact"/>
      </w:pPr>
      <w:r>
        <w:t xml:space="preserve">Avoided Emissions from Recycling: 0.52 kg * 1.0 kg CO2e/kg (illustrative avoided EF) = -0.52 kg CO2e (reduction)</w:t>
      </w:r>
    </w:p>
    <w:p>
      <w:pPr>
        <w:numPr>
          <w:ilvl w:val="0"/>
          <w:numId w:val="1014"/>
        </w:numPr>
        <w:pStyle w:val="Compact"/>
      </w:pPr>
      <w:r>
        <w:t xml:space="preserve">Emissions from Non-recycled Waste (Landfill): 0.13 kg * 0.1 kg CO2e/kg (illustrative landfill EF) = 0.013 kg CO2e</w:t>
      </w:r>
    </w:p>
    <w:p>
      <w:pPr>
        <w:pStyle w:val="FirstParagraph"/>
      </w:pPr>
      <w:r>
        <w:rPr>
          <w:bCs/>
          <w:b/>
        </w:rPr>
        <w:t xml:space="preserve">Total End-of-Life Emissions: -0.507 kg CO2e (Net removal/avoidance due to high recyclability)</w:t>
      </w:r>
    </w:p>
    <w:bookmarkEnd w:id="38"/>
    <w:bookmarkEnd w:id="39"/>
    <w:bookmarkStart w:id="40"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2.80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1.50</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3 (Downstream)</w:t>
            </w:r>
          </w:p>
        </w:tc>
        <w:tc>
          <w:tcPr/>
          <w:p>
            <w:pPr>
              <w:pStyle w:val="Compact"/>
              <w:jc w:val="left"/>
            </w:pPr>
            <w:r>
              <w:t xml:space="preserve">Downstream Transportation</w:t>
            </w:r>
          </w:p>
        </w:tc>
        <w:tc>
          <w:tcPr/>
          <w:p>
            <w:pPr>
              <w:pStyle w:val="Compact"/>
              <w:jc w:val="left"/>
            </w:pPr>
            <w:r>
              <w:t xml:space="preserve">0.13</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25.00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-0.51</w:t>
            </w:r>
          </w:p>
        </w:tc>
      </w:tr>
    </w:tbl>
    <w:p>
      <w:pPr>
        <w:pStyle w:val="BodyText"/>
      </w:pPr>
      <w:r>
        <w:t xml:space="preserve">Total Product Carbon Footprint (PCF) for komqwgpsnh:</w:t>
      </w:r>
      <w:r>
        <w:t xml:space="preserve"> </w:t>
      </w:r>
      <w:r>
        <w:rPr>
          <w:bCs/>
          <w:b/>
        </w:rPr>
        <w:t xml:space="preserve">28.92 kg CO2e</w:t>
      </w:r>
    </w:p>
    <w:p>
      <w:pPr>
        <w:pStyle w:val="BodyText"/>
      </w:pPr>
      <w:r>
        <w:rPr>
          <w:bCs/>
          <w:b/>
        </w:rPr>
        <w:t xml:space="preserve">2026 LSR Update:</w:t>
      </w:r>
      <w:r>
        <w:t xml:space="preserve"> </w:t>
      </w:r>
      <w:r>
        <w:t xml:space="preserve">The Land Sector and Removals (LSR) Standard emphasizes the importance of accounting for land use change and carbon removals. In this PCF, the negative emissions (avoided emissions) from the high recyclability and circular programs (-0.51 kg CO2e) align with the principles of carbon removals/avoidances as encouraged by the LSR Standard, reflecting efforts to keep materials in circulation and minimize virgin resource extraction impacts. A more direct application of LSR would require data on biomass and direct land use change associated with raw material sourcing, which is beyond the scope of this parameter-based analysis.</w:t>
      </w:r>
    </w:p>
    <w:p>
      <w:pPr>
        <w:pStyle w:val="BodyText"/>
      </w:pPr>
      <w:r>
        <w:rPr>
          <w:bCs/>
          <w:b/>
        </w:rPr>
        <w:t xml:space="preserve">Scope 3 Compliance:</w:t>
      </w:r>
      <w:r>
        <w:t xml:space="preserve"> </w:t>
      </w:r>
      <w:r>
        <w:t xml:space="preserve">The analysis covers significant categories for Scope 3 emissions, including purchased goods and services, upstream and downstream transportation, use of sold products, and end-of-life treatment. Based on the provided parameters, these categories represent the vast majority of the product\'s value chain emissions. For 2026 requirements, efforts are made to ensure at least 95% coverage; for a full attestation, more detailed data across all 15 Scope 3 categories would be assessed, including investments, franchises, and employee commuting.</w:t>
      </w:r>
    </w:p>
    <w:p>
      <w:r>
        <w:pict>
          <v:rect style="width:0;height:1.5pt" o:hralign="center" o:hrstd="t" o:hr="t"/>
        </w:pict>
      </w:r>
    </w:p>
    <w:bookmarkEnd w:id="40"/>
    <w:bookmarkEnd w:id="41"/>
    <w:bookmarkStart w:id="45" w:name="review-report"/>
    <w:p>
      <w:pPr>
        <w:pStyle w:val="Heading2"/>
      </w:pPr>
      <w:r>
        <w:t xml:space="preserve">4. Review &amp; Report</w:t>
      </w:r>
    </w:p>
    <w:bookmarkStart w:id="42" w:name="emission-hotspots"/>
    <w:p>
      <w:pPr>
        <w:pStyle w:val="Heading3"/>
      </w:pPr>
      <w:r>
        <w:t xml:space="preserve">4.1. Emission Hotspots</w:t>
      </w:r>
    </w:p>
    <w:p>
      <w:pPr>
        <w:pStyle w:val="FirstParagraph"/>
      </w:pPr>
      <w:r>
        <w:t xml:space="preserve">The analysis reveals the following major emission hotspots for komqwgpsnh:</w:t>
      </w:r>
    </w:p>
    <w:p>
      <w:pPr>
        <w:numPr>
          <w:ilvl w:val="0"/>
          <w:numId w:val="1015"/>
        </w:numPr>
        <w:pStyle w:val="Compact"/>
      </w:pPr>
      <w:r>
        <w:rPr>
          <w:bCs/>
          <w:b/>
        </w:rPr>
        <w:t xml:space="preserve">Use Phase (25.00 kg CO2e):</w:t>
      </w:r>
      <w:r>
        <w:t xml:space="preserve"> </w:t>
      </w:r>
      <w:r>
        <w:t xml:space="preserve">This is by far the largest contributor to the product\'s carbon footprint, primarily due to the energy consumption during the product\'s operational lifespan. This indicates a critical area for design intervention to improve energy efficiency.</w:t>
      </w:r>
    </w:p>
    <w:p>
      <w:pPr>
        <w:numPr>
          <w:ilvl w:val="0"/>
          <w:numId w:val="1015"/>
        </w:numPr>
        <w:pStyle w:val="Compact"/>
      </w:pPr>
      <w:r>
        <w:rPr>
          <w:bCs/>
          <w:b/>
        </w:rPr>
        <w:t xml:space="preserve">Materials Acquisition &amp; Pre-processing (2.80 kg CO2e):</w:t>
      </w:r>
      <w:r>
        <w:t xml:space="preserve"> </w:t>
      </w:r>
      <w:r>
        <w:t xml:space="preserve">The embodied emissions in raw materials, particularly plastics, copper, and electronics, represent the second-largest hotspot. This highlights the importance of sustainable material sourcing and design for material efficiency.</w:t>
      </w:r>
    </w:p>
    <w:p>
      <w:pPr>
        <w:numPr>
          <w:ilvl w:val="0"/>
          <w:numId w:val="1015"/>
        </w:numPr>
        <w:pStyle w:val="Compact"/>
      </w:pPr>
      <w:r>
        <w:rPr>
          <w:bCs/>
          <w:b/>
        </w:rPr>
        <w:t xml:space="preserve">Manufacturing (Purchased Electricity) (1.50 kg CO2e):</w:t>
      </w:r>
      <w:r>
        <w:t xml:space="preserve"> </w:t>
      </w:r>
      <w:r>
        <w:t xml:space="preserve">While partially mitigated by 70% renewable energy usage, the remaining non-renewable electricity consumption contributes significantly to the factory\'s operational emissions.</w:t>
      </w:r>
    </w:p>
    <w:bookmarkEnd w:id="42"/>
    <w:bookmarkStart w:id="43"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provided input parameters and the chosen illustrative emission factors. Key considerations include:</w:t>
      </w:r>
    </w:p>
    <w:p>
      <w:pPr>
        <w:numPr>
          <w:ilvl w:val="0"/>
          <w:numId w:val="1016"/>
        </w:numPr>
        <w:pStyle w:val="Compact"/>
      </w:pPr>
      <w:r>
        <w:rPr>
          <w:bCs/>
          <w:b/>
        </w:rPr>
        <w:t xml:space="preserve">Illustrative Emission Factors:</w:t>
      </w:r>
      <w:r>
        <w:t xml:space="preserve"> </w:t>
      </w:r>
      <w:r>
        <w:t xml:space="preserve">Many emission factors (e.g., for transport modes, last-mile delivery, and grid electricity) were based on illustrative industry averages due to the absence of specific, company-provided factors. Using company-specific or regionally precise emission factors would enhance accuracy.</w:t>
      </w:r>
    </w:p>
    <w:p>
      <w:pPr>
        <w:numPr>
          <w:ilvl w:val="0"/>
          <w:numId w:val="1016"/>
        </w:numPr>
        <w:pStyle w:val="Compact"/>
      </w:pPr>
      <w:r>
        <w:rPr>
          <w:bCs/>
          <w:b/>
        </w:rPr>
        <w:t xml:space="preserve">BOM Specificity:</w:t>
      </w:r>
      <w:r>
        <w:t xml:space="preserve"> </w:t>
      </w:r>
      <w:r>
        <w:t xml:space="preserve">The provided "Total Carbon" in the BOM allows for a direct summation of material impacts, but a deeper dive into the specific manufacturing processes and sub-components of the "Circuit Board" could reveal further insights.</w:t>
      </w:r>
    </w:p>
    <w:p>
      <w:pPr>
        <w:numPr>
          <w:ilvl w:val="0"/>
          <w:numId w:val="1016"/>
        </w:numPr>
        <w:pStyle w:val="Compact"/>
      </w:pPr>
      <w:r>
        <w:rPr>
          <w:bCs/>
          <w:b/>
        </w:rPr>
        <w:t xml:space="preserve">Upstream Transport:</w:t>
      </w:r>
      <w:r>
        <w:t xml:space="preserve"> </w:t>
      </w:r>
      <w:r>
        <w:t xml:space="preserve">Upstream transport for individual BOM items was assumed to be embedded or negligible without specific data, which could lead to underestimation if material transport is significant and not included in material EFs.</w:t>
      </w:r>
    </w:p>
    <w:p>
      <w:pPr>
        <w:numPr>
          <w:ilvl w:val="0"/>
          <w:numId w:val="1016"/>
        </w:numPr>
        <w:pStyle w:val="Compact"/>
      </w:pPr>
      <w:r>
        <w:rPr>
          <w:bCs/>
          <w:b/>
        </w:rPr>
        <w:t xml:space="preserve">Scope 1 Emissions:</w:t>
      </w:r>
      <w:r>
        <w:t xml:space="preserve"> </w:t>
      </w:r>
      <w:r>
        <w:t xml:space="preserve">Direct (Scope 1) manufacturing emissions were assumed negligible; actual data would be required for a complete picture.</w:t>
      </w:r>
    </w:p>
    <w:p>
      <w:pPr>
        <w:numPr>
          <w:ilvl w:val="0"/>
          <w:numId w:val="1016"/>
        </w:numPr>
        <w:pStyle w:val="Compact"/>
      </w:pPr>
      <w:r>
        <w:rPr>
          <w:bCs/>
          <w:b/>
        </w:rPr>
        <w:t xml:space="preserve">LSR &amp; Scope 3 Coverage:</w:t>
      </w:r>
      <w:r>
        <w:t xml:space="preserve"> </w:t>
      </w:r>
      <w:r>
        <w:t xml:space="preserve">While conceptually addressed, full adherence to the 2026 LSR Standard and a comprehensive 95% Scope 3 coverage would involve more granular data collection across all value chain activities.</w:t>
      </w:r>
    </w:p>
    <w:bookmarkEnd w:id="43"/>
    <w:bookmarkStart w:id="44" w:name="recommendations"/>
    <w:p>
      <w:pPr>
        <w:pStyle w:val="Heading3"/>
      </w:pPr>
      <w:r>
        <w:t xml:space="preserve">4.3. Recommendations</w:t>
      </w:r>
    </w:p>
    <w:p>
      <w:pPr>
        <w:pStyle w:val="FirstParagraph"/>
      </w:pPr>
      <w:r>
        <w:t xml:space="preserve">Based on these findings,</w:t>
      </w:r>
      <w:r>
        <w:t xml:space="preserve"> </w:t>
      </w:r>
      <w:r>
        <w:rPr>
          <w:bCs/>
          <w:b/>
        </w:rPr>
        <w:t xml:space="preserve">ovuuvzluoj</w:t>
      </w:r>
      <w:r>
        <w:t xml:space="preserve"> </w:t>
      </w:r>
      <w:r>
        <w:t xml:space="preserve">should consider the following strategies to reduce the carbon footprint of komqwgpsnh:</w:t>
      </w:r>
    </w:p>
    <w:p>
      <w:pPr>
        <w:numPr>
          <w:ilvl w:val="0"/>
          <w:numId w:val="1017"/>
        </w:numPr>
        <w:pStyle w:val="Compact"/>
      </w:pPr>
      <w:r>
        <w:rPr>
          <w:bCs/>
          <w:b/>
        </w:rPr>
        <w:t xml:space="preserve">Optimize Use Phase Energy Efficiency:</w:t>
      </w:r>
      <w:r>
        <w:t xml:space="preserve"> </w:t>
      </w:r>
      <w:r>
        <w:t xml:space="preserve">Prioritize research and development into significantly reducing the product\'s energy consumption during its lifespan. This is the single most impactful area for emissions reduction.</w:t>
      </w:r>
    </w:p>
    <w:p>
      <w:pPr>
        <w:numPr>
          <w:ilvl w:val="0"/>
          <w:numId w:val="1017"/>
        </w:numPr>
        <w:pStyle w:val="Compact"/>
      </w:pPr>
      <w:r>
        <w:rPr>
          <w:bCs/>
          <w:b/>
        </w:rPr>
        <w:t xml:space="preserve">Enhance Material Sustainability:</w:t>
      </w:r>
      <w:r>
        <w:t xml:space="preserve"> </w:t>
      </w:r>
      <w:r>
        <w:t xml:space="preserve">Explore options for lower-carbon materials, increased recycled content, and local sourcing to reduce embodied emissions in purchased goods.</w:t>
      </w:r>
    </w:p>
    <w:p>
      <w:pPr>
        <w:numPr>
          <w:ilvl w:val="0"/>
          <w:numId w:val="1017"/>
        </w:numPr>
        <w:pStyle w:val="Compact"/>
      </w:pPr>
      <w:r>
        <w:rPr>
          <w:bCs/>
          <w:b/>
        </w:rPr>
        <w:t xml:space="preserve">Increase Renewable Energy Sourcing:</w:t>
      </w:r>
      <w:r>
        <w:t xml:space="preserve"> </w:t>
      </w:r>
      <w:r>
        <w:t xml:space="preserve">Invest further in renewable energy for manufacturing operations, aiming for 100% renewable energy to eliminate Scope 2 emissions.</w:t>
      </w:r>
    </w:p>
    <w:p>
      <w:pPr>
        <w:numPr>
          <w:ilvl w:val="0"/>
          <w:numId w:val="1017"/>
        </w:numPr>
        <w:pStyle w:val="Compact"/>
      </w:pPr>
      <w:r>
        <w:rPr>
          <w:bCs/>
          <w:b/>
        </w:rPr>
        <w:t xml:space="preserve">Evaluate Logistics Efficiency:</w:t>
      </w:r>
      <w:r>
        <w:t xml:space="preserve"> </w:t>
      </w:r>
      <w:r>
        <w:t xml:space="preserve">Optimize transport routes, modes, and explore electric vehicles for last-mile delivery to reduce downstream transport emissions.</w:t>
      </w:r>
    </w:p>
    <w:p>
      <w:pPr>
        <w:numPr>
          <w:ilvl w:val="0"/>
          <w:numId w:val="1017"/>
        </w:numPr>
        <w:pStyle w:val="Compact"/>
      </w:pPr>
      <w:r>
        <w:rPr>
          <w:bCs/>
          <w:b/>
        </w:rPr>
        <w:t xml:space="preserve">Strengthen Circular Economy Programs:</w:t>
      </w:r>
      <w:r>
        <w:t xml:space="preserve"> </w:t>
      </w:r>
      <w:r>
        <w:t xml:space="preserve">Continue and expand the "Product take-back and refurbishment program" to maximize material recovery and extend product lifespans, further enhancing carbon removals/avoidances.</w:t>
      </w:r>
    </w:p>
    <w:p>
      <w:r>
        <w:pict>
          <v:rect style="width:0;height:1.5pt" o:hralign="center" o:hrstd="t" o:hr="t"/>
        </w:pict>
      </w:r>
    </w:p>
    <w:bookmarkEnd w:id="44"/>
    <w:bookmarkEnd w:id="45"/>
    <w:bookmarkStart w:id="46" w:name="conclusion"/>
    <w:p>
      <w:pPr>
        <w:pStyle w:val="Heading2"/>
      </w:pPr>
      <w:r>
        <w:t xml:space="preserve">5. Conclusion</w:t>
      </w:r>
    </w:p>
    <w:p>
      <w:pPr>
        <w:pStyle w:val="FirstParagraph"/>
      </w:pPr>
      <w:r>
        <w:t xml:space="preserve">The Product Carbon Footprint analysis for komqwgpsnh provides</w:t>
      </w:r>
      <w:r>
        <w:t xml:space="preserve"> </w:t>
      </w:r>
      <w:r>
        <w:rPr>
          <w:bCs/>
          <w:b/>
        </w:rPr>
        <w:t xml:space="preserve">ovuuvzluoj</w:t>
      </w:r>
      <w:r>
        <w:t xml:space="preserve"> </w:t>
      </w:r>
      <w:r>
        <w:t xml:space="preserve">with critical insights into its environmental performance. With a total PCF of approximately</w:t>
      </w:r>
      <w:r>
        <w:t xml:space="preserve"> </w:t>
      </w:r>
      <w:r>
        <w:rPr>
          <w:bCs/>
          <w:b/>
        </w:rPr>
        <w:t xml:space="preserve">28.92 kg CO2e</w:t>
      </w:r>
      <w:r>
        <w:t xml:space="preserve"> </w:t>
      </w:r>
      <w:r>
        <w:t xml:space="preserve">per unit, the use phase is identified as the dominant contributor. By focusing on energy efficiency in product design, sustainable material choices, and continued investment in renewable energy and circular economy initiatives,</w:t>
      </w:r>
      <w:r>
        <w:t xml:space="preserve"> </w:t>
      </w:r>
      <w:r>
        <w:rPr>
          <w:bCs/>
          <w:b/>
        </w:rPr>
        <w:t xml:space="preserve">ovuuvzluoj</w:t>
      </w:r>
      <w:r>
        <w:t xml:space="preserve"> </w:t>
      </w:r>
      <w:r>
        <w:t xml:space="preserve">can significantly reduce the environmental impact of</w:t>
      </w:r>
      <w:r>
        <w:t xml:space="preserve"> </w:t>
      </w:r>
      <w:r>
        <w:rPr>
          <w:bCs/>
          <w:b/>
        </w:rPr>
        <w:t xml:space="preserve">komqwgpsnh</w:t>
      </w:r>
      <w:r>
        <w:t xml:space="preserve"> </w:t>
      </w:r>
      <w:r>
        <w:t xml:space="preserve">and demonstrate strong leadership in sustainability. As</w:t>
      </w:r>
      <w:r>
        <w:t xml:space="preserve"> </w:t>
      </w:r>
      <w:r>
        <w:rPr>
          <w:bCs/>
          <w:b/>
        </w:rPr>
        <w:t xml:space="preserve">vnvshgysiz</w:t>
      </w:r>
      <w:r>
        <w:t xml:space="preserve">, Senior Sustainability Consultant, I recommend a continuous improvement approach, leveraging more specific operational data to refine future PCF assessments and track progress against reduction targets.</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komqwgpsnh</dc:title>
  <dc:creator/>
  <dc:description>Detailed Product Carbon Footprint (PCF) analysis report for product komqwgpsnh, performed by Senior Sustainability Consultant vnvshgysiz for ovuuvzluoj, adhering to GHG Protocol and 2026 LSR and Scope 3 compliance requirements.</dc:description>
  <dc:language>en</dc:language>
  <cp:keywords/>
  <dcterms:created xsi:type="dcterms:W3CDTF">2026-05-30T11:32:37Z</dcterms:created>
  <dcterms:modified xsi:type="dcterms:W3CDTF">2026-05-30T11:32:37Z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