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klgzglqinz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klgzglqinz</w:t>
      </w:r>
    </w:p>
    <w:p>
      <w:pPr>
        <w:pStyle w:val="BodyText"/>
      </w:pPr>
      <w:r>
        <w:rPr>
          <w:bCs/>
          <w:b/>
        </w:rPr>
        <w:t xml:space="preserve">Company Name:</w:t>
      </w:r>
      <w:r>
        <w:t xml:space="preserve"> </w:t>
      </w:r>
      <w:r>
        <w:t xml:space="preserve">vkiqusldsh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rxnjqjrepx</w:t>
      </w:r>
    </w:p>
    <w:p>
      <w:pPr>
        <w:pStyle w:val="BodyText"/>
      </w:pPr>
      <w:r>
        <w:t xml:space="preserve">Disclaimer: This report is generated based on available data and industry standards. While every effort has been made to ensure accuracy, the results presented herein are estimates and should be used for informational and strategic planning purposes. Actual emissions may vary based on real-world conditions and data availability.</w:t>
      </w:r>
    </w:p>
    <w:bookmarkEnd w:id="20"/>
    <w:p>
      <w:pPr>
        <w:pStyle w:val="BodyText"/>
      </w:pPr>
      <w:r>
        <w:t xml:space="preserve">Generated Date: May 23, 2026</w:t>
      </w:r>
    </w:p>
    <w:bookmarkStart w:id="42" w:name="Xbd83bd8330f6efd78d80ccb069e12bb3a2295e6"/>
    <w:p>
      <w:pPr>
        <w:pStyle w:val="Heading1"/>
      </w:pPr>
      <w:r>
        <w:t xml:space="preserve">Product Carbon Footprint Analysis for klgzglqinz</w:t>
      </w:r>
    </w:p>
    <w:p>
      <w:pPr>
        <w:pStyle w:val="FirstParagraph"/>
      </w:pPr>
      <w:r>
        <w:rPr>
          <w:bCs/>
          <w:b/>
        </w:rPr>
        <w:t xml:space="preserve">Company:</w:t>
      </w:r>
      <w:r>
        <w:t xml:space="preserve"> </w:t>
      </w:r>
      <w:r>
        <w:t xml:space="preserve">vkiqusldsh</w:t>
      </w:r>
    </w:p>
    <w:p>
      <w:pPr>
        <w:pStyle w:val="BodyText"/>
      </w:pPr>
      <w:r>
        <w:rPr>
          <w:bCs/>
          <w:b/>
        </w:rPr>
        <w:t xml:space="preserve">Consultant:</w:t>
      </w:r>
      <w:r>
        <w:t xml:space="preserve"> </w:t>
      </w:r>
      <w:r>
        <w:t xml:space="preserve">rxnjqjrepx, Senior Sustainability Consultant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klgzglqinz, manufactured by vkiqusldsh. Conducted by Senior Sustainability Consultant rxnjqjrepx, this analysis adheres strictly to the GHG Protocol, including considerations for the 2026 Land Sector and Removals (LSR) Standard. The goal is to identify key emission hotspots across the product\'s lifecycle, from raw material acquisition to end-of-life, and ensure at least 95% coverage for Scope 3 emissions as per upcoming 2026 requirements.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This section defines the parameters and boundaries for the Product Carbon Footprint analysis of klgzglqinz.</w:t>
      </w:r>
    </w:p>
    <w:p>
      <w:pPr>
        <w:numPr>
          <w:ilvl w:val="0"/>
          <w:numId w:val="1001"/>
        </w:numPr>
        <w:pStyle w:val="Compact"/>
      </w:pPr>
      <w:r>
        <w:rPr>
          <w:bCs/>
          <w:b/>
        </w:rPr>
        <w:t xml:space="preserve">Functional Unit:</w:t>
      </w:r>
      <w:r>
        <w:t xml:space="preserve"> </w:t>
      </w:r>
      <w:r>
        <w:t xml:space="preserve">1.0 unit of klgzglqinz</w:t>
      </w:r>
    </w:p>
    <w:p>
      <w:pPr>
        <w:numPr>
          <w:ilvl w:val="0"/>
          <w:numId w:val="1001"/>
        </w:numPr>
        <w:pStyle w:val="Compact"/>
      </w:pPr>
      <w:r>
        <w:rPr>
          <w:bCs/>
          <w:b/>
        </w:rPr>
        <w:t xml:space="preserve">System Boundary:</w:t>
      </w:r>
      <w:r>
        <w:t xml:space="preserve"> </w:t>
      </w:r>
      <w:r>
        <w:t xml:space="preserve">factory_gate. The analysis covers emissions from raw material acquisition, manufacturing, and transport to the factory gate. For a comprehensive PCF, it extends to the use phase and end-of-life.</w:t>
      </w:r>
    </w:p>
    <w:p>
      <w:pPr>
        <w:numPr>
          <w:ilvl w:val="0"/>
          <w:numId w:val="1001"/>
        </w:numPr>
        <w:pStyle w:val="Compact"/>
      </w:pPr>
      <w:r>
        <w:rPr>
          <w:bCs/>
          <w:b/>
        </w:rPr>
        <w:t xml:space="preserve">Geographic Scope:</w:t>
      </w:r>
      <w:r>
        <w:t xml:space="preserve"> </w:t>
      </w:r>
      <w:r>
        <w:t xml:space="preserve">Final Production Country: China, with a Supply Chain Focus on Europe. This implies material sourcing and initial processing may occur in Europe before final assembly in China.</w:t>
      </w:r>
    </w:p>
    <w:p>
      <w:pPr>
        <w:numPr>
          <w:ilvl w:val="0"/>
          <w:numId w:val="1001"/>
        </w:numPr>
        <w:pStyle w:val="Compact"/>
      </w:pPr>
      <w:r>
        <w:rPr>
          <w:bCs/>
          <w:b/>
        </w:rPr>
        <w:t xml:space="preserve">Accounting Standard:</w:t>
      </w:r>
      <w:r>
        <w:t xml:space="preserve"> </w:t>
      </w:r>
      <w:r>
        <w:t xml:space="preserve">GHG Protocol. This analysis adheres to the Greenhouse Gas Protocol Product Standard (A Life Cycle Approach). Emission categorization follows Scope 1 (direct emissions), Scope 2 (indirect emissions from purchased electricity, heat, or steam), and Scope 3 (all other indirect emissions across the value chain).</w:t>
      </w:r>
    </w:p>
    <w:p>
      <w:pPr>
        <w:numPr>
          <w:ilvl w:val="0"/>
          <w:numId w:val="1001"/>
        </w:numPr>
        <w:pStyle w:val="Compact"/>
      </w:pPr>
      <w:r>
        <w:rPr>
          <w:bCs/>
          <w:b/>
        </w:rPr>
        <w:t xml:space="preserve">Allocation:</w:t>
      </w:r>
      <w:r>
        <w:t xml:space="preserve"> </w:t>
      </w:r>
      <w:r>
        <w:t xml:space="preserve">Emissions are allocated to the functional unit based on mass, economic value, or other relevant physical relationships, ensuring that environmental impacts are fairly attributed to the klgzglqinz product.</w:t>
      </w:r>
    </w:p>
    <w:p>
      <w:r>
        <w:pict>
          <v:rect style="width:0;height:1.5pt" o:hralign="center" o:hrstd="t" o:hr="t"/>
        </w:pict>
      </w:r>
    </w:p>
    <w:bookmarkEnd w:id="22"/>
    <w:bookmarkStart w:id="28" w:name="X07cf0ea829f60a4f8fa47c00f72a11793fbe483"/>
    <w:p>
      <w:pPr>
        <w:pStyle w:val="Heading2"/>
      </w:pPr>
      <w:r>
        <w:t xml:space="preserve">2. Lifecycle Mapping (LCI Inventory Stages) &amp; 3. Data Collection</w:t>
      </w:r>
    </w:p>
    <w:p>
      <w:pPr>
        <w:pStyle w:val="FirstParagraph"/>
      </w:pPr>
      <w:r>
        <w:t xml:space="preserve">This phase maps the product\'s lifecycle and gathers primary and secondary data for emission calculations. The lifecycle stages include Material Acquisition, Manufacturing, Transport, Use Phase, and End-of-Life. Illustrative numerical values are used for calculations where specific values were provided as placeholders.</w:t>
      </w:r>
    </w:p>
    <w:bookmarkStart w:id="23" w:name="X64dc587e452015f9e0911657ac06eb0a67d6b45"/>
    <w:p>
      <w:pPr>
        <w:pStyle w:val="Heading3"/>
      </w:pPr>
      <w:r>
        <w:t xml:space="preserve">2.1. Detailed Bill of Materials (BOM) Analysis (Scope 3 - Upstream)</w:t>
      </w:r>
    </w:p>
    <w:p>
      <w:pPr>
        <w:pStyle w:val="FirstParagraph"/>
      </w:pPr>
      <w:r>
        <w:t xml:space="preserve">The following table details the Bill of Materials for klgzglqinz, including quantities and associated emission factors. The \'Calculated CO2e\' presented in this table is derived from multiplying the \'Quantity\' by the \'Emission Factor\', where the Quantity in grams is converted to kilograms when the Emission Factor is given in kgCO2e per kilogram.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Calculated CO2e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200</w:t>
            </w:r>
          </w:p>
        </w:tc>
        <w:tc>
          <w:tcPr/>
          <w:p>
            <w:pPr>
              <w:pStyle w:val="Compact"/>
              <w:jc w:val="left"/>
            </w:pPr>
            <w:r>
              <w:t xml:space="preserve">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2</w:t>
            </w:r>
          </w:p>
        </w:tc>
        <w:tc>
          <w:tcPr/>
          <w:p>
            <w:pPr>
              <w:pStyle w:val="Compact"/>
              <w:jc w:val="left"/>
            </w:pPr>
            <w:r>
              <w:t xml:space="preserve">Metal Frame</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150</w:t>
            </w:r>
          </w:p>
        </w:tc>
        <w:tc>
          <w:tcPr/>
          <w:p>
            <w:pPr>
              <w:pStyle w:val="Compact"/>
              <w:jc w:val="left"/>
            </w:pPr>
            <w:r>
              <w:t xml:space="preserve">g</w:t>
            </w:r>
          </w:p>
        </w:tc>
        <w:tc>
          <w:tcPr/>
          <w:p>
            <w:pPr>
              <w:pStyle w:val="Compact"/>
              <w:jc w:val="left"/>
            </w:pPr>
            <w:r>
              <w:t xml:space="preserve">5.0</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50</w:t>
            </w:r>
          </w:p>
        </w:tc>
        <w:tc>
          <w:tcPr/>
          <w:p>
            <w:pPr>
              <w:pStyle w:val="Compact"/>
              <w:jc w:val="left"/>
            </w:pPr>
            <w:r>
              <w:t xml:space="preserve">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Wiring Harness</w:t>
            </w:r>
          </w:p>
        </w:tc>
        <w:tc>
          <w:tcPr/>
          <w:p>
            <w:pPr>
              <w:pStyle w:val="Compact"/>
              <w:jc w:val="left"/>
            </w:pPr>
            <w:r>
              <w:t xml:space="preserve">Copper/Plastic</w:t>
            </w:r>
          </w:p>
        </w:tc>
        <w:tc>
          <w:tcPr/>
          <w:p>
            <w:pPr>
              <w:pStyle w:val="Compact"/>
              <w:jc w:val="left"/>
            </w:pPr>
            <w:r>
              <w:t xml:space="preserve">Extrusion/Assembly</w:t>
            </w:r>
          </w:p>
        </w:tc>
        <w:tc>
          <w:tcPr/>
          <w:p>
            <w:pPr>
              <w:pStyle w:val="Compact"/>
              <w:jc w:val="left"/>
            </w:pPr>
            <w:r>
              <w:t xml:space="preserve">30</w:t>
            </w:r>
          </w:p>
        </w:tc>
        <w:tc>
          <w:tcPr/>
          <w:p>
            <w:pPr>
              <w:pStyle w:val="Compact"/>
              <w:jc w:val="left"/>
            </w:pPr>
            <w:r>
              <w:t xml:space="preserve">g</w:t>
            </w:r>
          </w:p>
        </w:tc>
        <w:tc>
          <w:tcPr/>
          <w:p>
            <w:pPr>
              <w:pStyle w:val="Compact"/>
              <w:jc w:val="left"/>
            </w:pPr>
            <w:r>
              <w:t xml:space="preserve">8.0</w:t>
            </w:r>
          </w:p>
        </w:tc>
        <w:tc>
          <w:tcPr/>
          <w:p>
            <w:pPr>
              <w:pStyle w:val="Compact"/>
              <w:jc w:val="left"/>
            </w:pPr>
            <w:r>
              <w:t xml:space="preserve">0.24</w:t>
            </w:r>
          </w:p>
        </w:tc>
      </w:tr>
      <w:tr>
        <w:tc>
          <w:tcPr/>
          <w:p>
            <w:pPr>
              <w:pStyle w:val="Compact"/>
              <w:jc w:val="left"/>
            </w:pPr>
            <w:r>
              <w:t xml:space="preserve">5</w:t>
            </w:r>
          </w:p>
        </w:tc>
        <w:tc>
          <w:tcPr/>
          <w:p>
            <w:pPr>
              <w:pStyle w:val="Compact"/>
              <w:jc w:val="left"/>
            </w:pPr>
            <w:r>
              <w:t xml:space="preserve">Fasteners</w:t>
            </w:r>
          </w:p>
        </w:tc>
        <w:tc>
          <w:tcPr/>
          <w:p>
            <w:pPr>
              <w:pStyle w:val="Compact"/>
              <w:jc w:val="left"/>
            </w:pPr>
            <w:r>
              <w:t xml:space="preserve">Steel</w:t>
            </w:r>
          </w:p>
        </w:tc>
        <w:tc>
          <w:tcPr/>
          <w:p>
            <w:pPr>
              <w:pStyle w:val="Compact"/>
              <w:jc w:val="left"/>
            </w:pPr>
            <w:r>
              <w:t xml:space="preserve">Machining</w:t>
            </w:r>
          </w:p>
        </w:tc>
        <w:tc>
          <w:tcPr/>
          <w:p>
            <w:pPr>
              <w:pStyle w:val="Compact"/>
              <w:jc w:val="left"/>
            </w:pPr>
            <w:r>
              <w:t xml:space="preserve">20</w:t>
            </w:r>
          </w:p>
        </w:tc>
        <w:tc>
          <w:tcPr/>
          <w:p>
            <w:pPr>
              <w:pStyle w:val="Compact"/>
              <w:jc w:val="left"/>
            </w:pPr>
            <w:r>
              <w:t xml:space="preserve">g</w:t>
            </w:r>
          </w:p>
        </w:tc>
        <w:tc>
          <w:tcPr/>
          <w:p>
            <w:pPr>
              <w:pStyle w:val="Compact"/>
              <w:jc w:val="left"/>
            </w:pPr>
            <w:r>
              <w:t xml:space="preserve">2.0</w:t>
            </w:r>
          </w:p>
        </w:tc>
        <w:tc>
          <w:tcPr/>
          <w:p>
            <w:pPr>
              <w:pStyle w:val="Compact"/>
              <w:jc w:val="left"/>
            </w:pPr>
            <w:r>
              <w:t xml:space="preserve">0.04</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Converting</w:t>
            </w:r>
          </w:p>
        </w:tc>
        <w:tc>
          <w:tcPr/>
          <w:p>
            <w:pPr>
              <w:pStyle w:val="Compact"/>
              <w:jc w:val="left"/>
            </w:pPr>
            <w:r>
              <w:t xml:space="preserve">100</w:t>
            </w:r>
          </w:p>
        </w:tc>
        <w:tc>
          <w:tcPr/>
          <w:p>
            <w:pPr>
              <w:pStyle w:val="Compact"/>
              <w:jc w:val="left"/>
            </w:pPr>
            <w:r>
              <w:t xml:space="preserve">g</w:t>
            </w:r>
          </w:p>
        </w:tc>
        <w:tc>
          <w:tcPr/>
          <w:p>
            <w:pPr>
              <w:pStyle w:val="Compact"/>
              <w:jc w:val="left"/>
            </w:pPr>
            <w:r>
              <w:t xml:space="preserve">1.5</w:t>
            </w:r>
          </w:p>
        </w:tc>
        <w:tc>
          <w:tcPr/>
          <w:p>
            <w:pPr>
              <w:pStyle w:val="Compact"/>
              <w:jc w:val="left"/>
            </w:pPr>
            <w:r>
              <w:t xml:space="preserve">0.15</w:t>
            </w:r>
          </w:p>
        </w:tc>
      </w:tr>
    </w:tbl>
    <w:p>
      <w:pPr>
        <w:pStyle w:val="BodyText"/>
      </w:pPr>
      <w:r>
        <w:t xml:space="preserve">The detailed BOM (wlliqynr) provides specific values for quantity and emission factors, ensuring high-accuracy material impact calculation.</w:t>
      </w:r>
    </w:p>
    <w:bookmarkEnd w:id="23"/>
    <w:bookmarkStart w:id="24" w:name="manufacturing-phase-data-scope-1-2"/>
    <w:p>
      <w:pPr>
        <w:pStyle w:val="Heading3"/>
      </w:pPr>
      <w:r>
        <w:t xml:space="preserve">2.2. Manufacturing Phase Data (Scope 1 &amp; 2)</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Energy Intensity (kWh/unit):</w:t>
      </w:r>
      <w:r>
        <w:t xml:space="preserve"> </w:t>
      </w:r>
      <w:r>
        <w:t xml:space="preserve">jxxutvjyiw (illustrative value used for calculation: 10 kWh/unit)</w:t>
      </w:r>
    </w:p>
    <w:p>
      <w:pPr>
        <w:numPr>
          <w:ilvl w:val="0"/>
          <w:numId w:val="1002"/>
        </w:numPr>
        <w:pStyle w:val="Compact"/>
      </w:pPr>
      <w:r>
        <w:rPr>
          <w:bCs/>
          <w:b/>
        </w:rPr>
        <w:t xml:space="preserve">Renewable Energy Usage:</w:t>
      </w:r>
      <w:r>
        <w:t xml:space="preserve"> </w:t>
      </w:r>
      <w:r>
        <w:t xml:space="preserve">nuijqkvwwg (illustrative value used for calculation: 50%). This percentage of energy is sourced from renewable origins, reducing grid electricity reliance.</w:t>
      </w:r>
    </w:p>
    <w:p>
      <w:pPr>
        <w:numPr>
          <w:ilvl w:val="0"/>
          <w:numId w:val="1002"/>
        </w:numPr>
        <w:pStyle w:val="Compact"/>
      </w:pPr>
      <w:r>
        <w:rPr>
          <w:bCs/>
          <w:b/>
        </w:rPr>
        <w:t xml:space="preserve">Grid Electricity Emission Factor (China):</w:t>
      </w:r>
      <w:r>
        <w:t xml:space="preserve"> </w:t>
      </w:r>
      <w:r>
        <w:t xml:space="preserve">0.57 kgCO2e/kWh (Source: Illustrative average based on recent data for China\'s grid, e.g., 0.5568 kgCO2/kWh by MEE for 2021, 0.53 kgCO2/kWh by Ember for 2022).</w:t>
      </w:r>
    </w:p>
    <w:bookmarkEnd w:id="24"/>
    <w:bookmarkStart w:id="25" w:name="X868c37c7a6a42bd7152ce7cd46aff1eec36c0bd"/>
    <w:p>
      <w:pPr>
        <w:pStyle w:val="Heading3"/>
      </w:pPr>
      <w:r>
        <w:t xml:space="preserve">2.3. Logistics Data (Scope 3 - Upstream &amp; Downstream)</w:t>
      </w:r>
    </w:p>
    <w:p>
      <w:pPr>
        <w:pStyle w:val="FirstParagraph"/>
      </w:pPr>
      <w:r>
        <w:t xml:space="preserve">Transport impacts are considered for both inbound materials (from Europe to China) and outbound finished products.</w:t>
      </w:r>
    </w:p>
    <w:p>
      <w:pPr>
        <w:numPr>
          <w:ilvl w:val="0"/>
          <w:numId w:val="1003"/>
        </w:numPr>
        <w:pStyle w:val="Compact"/>
      </w:pPr>
      <w:r>
        <w:rPr>
          <w:bCs/>
          <w:b/>
        </w:rPr>
        <w:t xml:space="preserve">Primary Transport Mode:</w:t>
      </w:r>
      <w:r>
        <w:t xml:space="preserve"> </w:t>
      </w:r>
      <w:r>
        <w:t xml:space="preserve">Select Mode (illustrative for calculation: Ocean Freight)</w:t>
      </w:r>
    </w:p>
    <w:p>
      <w:pPr>
        <w:numPr>
          <w:ilvl w:val="0"/>
          <w:numId w:val="1003"/>
        </w:numPr>
        <w:pStyle w:val="Compact"/>
      </w:pPr>
      <w:r>
        <w:rPr>
          <w:bCs/>
          <w:b/>
        </w:rPr>
        <w:t xml:space="preserve">Transport Distance:</w:t>
      </w:r>
      <w:r>
        <w:t xml:space="preserve"> </w:t>
      </w:r>
      <w:r>
        <w:t xml:space="preserve">rfdxzypyhr (illustrative value used for calculation: 10,000 km for ocean freight)</w:t>
      </w:r>
    </w:p>
    <w:p>
      <w:pPr>
        <w:numPr>
          <w:ilvl w:val="0"/>
          <w:numId w:val="1003"/>
        </w:numPr>
        <w:pStyle w:val="Compact"/>
      </w:pPr>
      <w:r>
        <w:rPr>
          <w:bCs/>
          <w:b/>
        </w:rPr>
        <w:t xml:space="preserve">Last-Mile Delivery Channel:</w:t>
      </w:r>
      <w:r>
        <w:t xml:space="preserve"> </w:t>
      </w:r>
      <w:r>
        <w:t xml:space="preserve">Delivery Type (illustrative for calculation: Road Freight (HGV))</w:t>
      </w:r>
    </w:p>
    <w:p>
      <w:pPr>
        <w:numPr>
          <w:ilvl w:val="0"/>
          <w:numId w:val="1003"/>
        </w:numPr>
        <w:pStyle w:val="Compact"/>
      </w:pPr>
      <w:r>
        <w:rPr>
          <w:bCs/>
          <w:b/>
        </w:rPr>
        <w:t xml:space="preserve">Last-Mile Delivery Distance (illustrative):</w:t>
      </w:r>
      <w:r>
        <w:t xml:space="preserve"> </w:t>
      </w:r>
      <w:r>
        <w:t xml:space="preserve">500 km</w:t>
      </w:r>
    </w:p>
    <w:p>
      <w:pPr>
        <w:numPr>
          <w:ilvl w:val="0"/>
          <w:numId w:val="1003"/>
        </w:numPr>
        <w:pStyle w:val="Compact"/>
      </w:pPr>
      <w:r>
        <w:rPr>
          <w:bCs/>
          <w:b/>
        </w:rPr>
        <w:t xml:space="preserve">Product Weight for Transport:</w:t>
      </w:r>
      <w:r>
        <w:t xml:space="preserve"> </w:t>
      </w:r>
      <w:r>
        <w:t xml:space="preserve">Assuming 0.75 kg per unit (sum of illustrative BOM items, including packaging).</w:t>
      </w:r>
    </w:p>
    <w:p>
      <w:pPr>
        <w:numPr>
          <w:ilvl w:val="0"/>
          <w:numId w:val="1003"/>
        </w:numPr>
        <w:pStyle w:val="Compact"/>
      </w:pPr>
      <w:r>
        <w:rPr>
          <w:bCs/>
          <w:b/>
        </w:rPr>
        <w:t xml:space="preserve">Ocean Freight Emission Factor (illustrative):</w:t>
      </w:r>
      <w:r>
        <w:t xml:space="preserve"> </w:t>
      </w:r>
      <w:r>
        <w:t xml:space="preserve">0.016 kgCO2e/tonne-km (Source: DEFRA/DESNZ 2025 data for container ships).</w:t>
      </w:r>
    </w:p>
    <w:p>
      <w:pPr>
        <w:numPr>
          <w:ilvl w:val="0"/>
          <w:numId w:val="1003"/>
        </w:numPr>
        <w:pStyle w:val="Compact"/>
      </w:pPr>
      <w:r>
        <w:rPr>
          <w:bCs/>
          <w:b/>
        </w:rPr>
        <w:t xml:space="preserve">Road Freight Emission Factor (HGV &gt; 16t, illustrative):</w:t>
      </w:r>
      <w:r>
        <w:t xml:space="preserve"> </w:t>
      </w:r>
      <w:r>
        <w:t xml:space="preserve">0.1 kgCO2e/tonne-km (Source: Consistent with general ranges for HGVs).</w:t>
      </w:r>
    </w:p>
    <w:bookmarkEnd w:id="25"/>
    <w:bookmarkStart w:id="26" w:name="use-phase-data-scope-3---downstream"/>
    <w:p>
      <w:pPr>
        <w:pStyle w:val="Heading3"/>
      </w:pPr>
      <w:r>
        <w:t xml:space="preserve">2.4. Use Phase Data (Scope 3 - Downstream)</w:t>
      </w:r>
    </w:p>
    <w:p>
      <w:pPr>
        <w:numPr>
          <w:ilvl w:val="0"/>
          <w:numId w:val="1004"/>
        </w:numPr>
        <w:pStyle w:val="Compact"/>
      </w:pPr>
      <w:r>
        <w:rPr>
          <w:bCs/>
          <w:b/>
        </w:rPr>
        <w:t xml:space="preserve">Product Lifespan:</w:t>
      </w:r>
      <w:r>
        <w:t xml:space="preserve"> </w:t>
      </w:r>
      <w:r>
        <w:t xml:space="preserve">sqntvzxnrt (illustrative value used for calculation: 5 years)</w:t>
      </w:r>
    </w:p>
    <w:p>
      <w:pPr>
        <w:numPr>
          <w:ilvl w:val="0"/>
          <w:numId w:val="1004"/>
        </w:numPr>
        <w:pStyle w:val="Compact"/>
      </w:pPr>
      <w:r>
        <w:rPr>
          <w:bCs/>
          <w:b/>
        </w:rPr>
        <w:t xml:space="preserve">Energy Consumption in Use:</w:t>
      </w:r>
      <w:r>
        <w:t xml:space="preserve"> </w:t>
      </w:r>
      <w:r>
        <w:t xml:space="preserve">tgtkvlsmgp (illustrative value used for calculation: 20 kWh/year)</w:t>
      </w:r>
    </w:p>
    <w:p>
      <w:pPr>
        <w:numPr>
          <w:ilvl w:val="0"/>
          <w:numId w:val="1004"/>
        </w:numPr>
        <w:pStyle w:val="Compact"/>
      </w:pPr>
      <w:r>
        <w:rPr>
          <w:bCs/>
          <w:b/>
        </w:rPr>
        <w:t xml:space="preserve">Electricity Grid Emission Factor (User Location, illustrative):</w:t>
      </w:r>
      <w:r>
        <w:t xml:space="preserve"> </w:t>
      </w:r>
      <w:r>
        <w:t xml:space="preserve">Assuming 0.4 kgCO2e/kWh (global average for illustrative purposes).</w:t>
      </w:r>
    </w:p>
    <w:bookmarkEnd w:id="26"/>
    <w:bookmarkStart w:id="27" w:name="X1d6fb48e33f8142e05cc7719297f759d585345f"/>
    <w:p>
      <w:pPr>
        <w:pStyle w:val="Heading3"/>
      </w:pPr>
      <w:r>
        <w:t xml:space="preserve">2.5. End-of-Life (EoL) Data (Scope 3 - Downstream)</w:t>
      </w:r>
    </w:p>
    <w:p>
      <w:pPr>
        <w:numPr>
          <w:ilvl w:val="0"/>
          <w:numId w:val="1005"/>
        </w:numPr>
        <w:pStyle w:val="Compact"/>
      </w:pPr>
      <w:r>
        <w:rPr>
          <w:bCs/>
          <w:b/>
        </w:rPr>
        <w:t xml:space="preserve">Recyclability Percentage:</w:t>
      </w:r>
      <w:r>
        <w:t xml:space="preserve"> </w:t>
      </w:r>
      <w:r>
        <w:t xml:space="preserve">huilsxszym (illustrative value used for calculation: 70%)</w:t>
      </w:r>
    </w:p>
    <w:p>
      <w:pPr>
        <w:numPr>
          <w:ilvl w:val="0"/>
          <w:numId w:val="1005"/>
        </w:numPr>
        <w:pStyle w:val="Compact"/>
      </w:pPr>
      <w:r>
        <w:rPr>
          <w:bCs/>
          <w:b/>
        </w:rPr>
        <w:t xml:space="preserve">Circular/Take-back Programs:</w:t>
      </w:r>
      <w:r>
        <w:t xml:space="preserve"> </w:t>
      </w:r>
      <w:r>
        <w:t xml:space="preserve">exzdfhldvu (illustrative: Company operates a regional take-back and recycling program.)</w:t>
      </w:r>
    </w:p>
    <w:p>
      <w:pPr>
        <w:numPr>
          <w:ilvl w:val="0"/>
          <w:numId w:val="1005"/>
        </w:numPr>
        <w:pStyle w:val="Compact"/>
      </w:pPr>
      <w:r>
        <w:rPr>
          <w:bCs/>
          <w:b/>
        </w:rPr>
        <w:t xml:space="preserve">EoL Treatment Emission Factors (illustrative):</w:t>
      </w:r>
    </w:p>
    <w:p>
      <w:pPr>
        <w:numPr>
          <w:ilvl w:val="1"/>
          <w:numId w:val="1006"/>
        </w:numPr>
        <w:pStyle w:val="Compact"/>
      </w:pPr>
      <w:r>
        <w:t xml:space="preserve">Recycling: Assumed -0.5 kgCO2e/kg (credit for materials recovered, depending on energy input for recycling)</w:t>
      </w:r>
    </w:p>
    <w:p>
      <w:pPr>
        <w:numPr>
          <w:ilvl w:val="1"/>
          <w:numId w:val="1006"/>
        </w:numPr>
        <w:pStyle w:val="Compact"/>
      </w:pPr>
      <w:r>
        <w:t xml:space="preserve">Landfill/Incineration: Assumed 1.0 kgCO2e/kg (for non-recycled portion)</w:t>
      </w:r>
    </w:p>
    <w:p>
      <w:r>
        <w:pict>
          <v:rect style="width:0;height:1.5pt" o:hralign="center" o:hrstd="t" o:hr="t"/>
        </w:pict>
      </w:r>
    </w:p>
    <w:bookmarkEnd w:id="27"/>
    <w:bookmarkEnd w:id="28"/>
    <w:bookmarkStart w:id="38" w:name="X439a6e6dcb43c636bf515ffaf3f59bce0bd6490"/>
    <w:p>
      <w:pPr>
        <w:pStyle w:val="Heading2"/>
      </w:pPr>
      <w:r>
        <w:t xml:space="preserve">4. Emission Calculation (Activity * Emission Factor = CO2e)</w:t>
      </w:r>
    </w:p>
    <w:p>
      <w:pPr>
        <w:pStyle w:val="FirstParagraph"/>
      </w:pPr>
      <w:r>
        <w:t xml:space="preserve">This section details the calculation of CO2e emissions across the product lifecycle, categorized according to the GHG Protocol (Scope 1, 2, and 3). Illustrative numerical values are used for placeholder parameters for these calculations.</w:t>
      </w:r>
    </w:p>
    <w:bookmarkStart w:id="31" w:name="X36b750397d887a058a2ea867d5768bbc6b182fe"/>
    <w:p>
      <w:pPr>
        <w:pStyle w:val="Heading3"/>
      </w:pPr>
      <w:r>
        <w:t xml:space="preserve">4.1. Scope 3: Upstream Emissions (Cradle-to-Gate components)</w:t>
      </w:r>
    </w:p>
    <w:bookmarkStart w:id="29" w:name="Xa36ccbc6522da33ce4d1946d86c285c7f4f0354"/>
    <w:p>
      <w:pPr>
        <w:pStyle w:val="Heading4"/>
      </w:pPr>
      <w:r>
        <w:t xml:space="preserve">4.1.1. Materials (Raw Material Acquisition &amp; Pre-processing)</w:t>
      </w:r>
    </w:p>
    <w:p>
      <w:pPr>
        <w:pStyle w:val="FirstParagraph"/>
      </w:pPr>
      <w:r>
        <w:t xml:space="preserve">Based on the Detailed Bill of Materials (wlliqynr), the total CO2e from materials is calculated as the sum of (Quantity * Emission Factor) for each component.</w:t>
      </w:r>
    </w:p>
    <w:p>
      <w:pPr>
        <w:numPr>
          <w:ilvl w:val="0"/>
          <w:numId w:val="1007"/>
        </w:numPr>
        <w:pStyle w:val="Compact"/>
      </w:pPr>
      <w:r>
        <w:t xml:space="preserve">Plastic Casing: (200 g / 1000) * 3.5 kgCO2e/kg = 0.70 kgCO2e</w:t>
      </w:r>
    </w:p>
    <w:p>
      <w:pPr>
        <w:numPr>
          <w:ilvl w:val="0"/>
          <w:numId w:val="1007"/>
        </w:numPr>
        <w:pStyle w:val="Compact"/>
      </w:pPr>
      <w:r>
        <w:t xml:space="preserve">Metal Frame: (150 g / 1000) * 5.0 kgCO2e/kg = 0.75 kgCO2e</w:t>
      </w:r>
    </w:p>
    <w:p>
      <w:pPr>
        <w:numPr>
          <w:ilvl w:val="0"/>
          <w:numId w:val="1007"/>
        </w:numPr>
        <w:pStyle w:val="Compact"/>
      </w:pPr>
      <w:r>
        <w:t xml:space="preserve">Circuit Board: (50 g / 1000) * 20.0 kgCO2e/kg = 1.00 kgCO2e</w:t>
      </w:r>
    </w:p>
    <w:p>
      <w:pPr>
        <w:numPr>
          <w:ilvl w:val="0"/>
          <w:numId w:val="1007"/>
        </w:numPr>
        <w:pStyle w:val="Compact"/>
      </w:pPr>
      <w:r>
        <w:t xml:space="preserve">Wiring Harness: (30 g / 1000) * 8.0 kgCO2e/kg = 0.24 kgCO2e</w:t>
      </w:r>
    </w:p>
    <w:p>
      <w:pPr>
        <w:numPr>
          <w:ilvl w:val="0"/>
          <w:numId w:val="1007"/>
        </w:numPr>
        <w:pStyle w:val="Compact"/>
      </w:pPr>
      <w:r>
        <w:t xml:space="preserve">Fasteners: (20 g / 1000) * 2.0 kgCO2e/kg = 0.04 kgCO2e</w:t>
      </w:r>
    </w:p>
    <w:p>
      <w:pPr>
        <w:numPr>
          <w:ilvl w:val="0"/>
          <w:numId w:val="1007"/>
        </w:numPr>
        <w:pStyle w:val="Compact"/>
      </w:pPr>
      <w:r>
        <w:t xml:space="preserve">Packaging (Cardboard): (100 g / 1000) * 1.5 kgCO2e/kg = 0.15 kgCO2e</w:t>
      </w:r>
    </w:p>
    <w:p>
      <w:pPr>
        <w:pStyle w:val="FirstParagraph"/>
      </w:pPr>
      <w:r>
        <w:rPr>
          <w:bCs/>
          <w:b/>
        </w:rPr>
        <w:t xml:space="preserve">Total Materials CO2e:</w:t>
      </w:r>
      <w:r>
        <w:t xml:space="preserve"> </w:t>
      </w:r>
      <w:r>
        <w:t xml:space="preserve">2.88 kgCO2e/unit</w:t>
      </w:r>
    </w:p>
    <w:bookmarkEnd w:id="29"/>
    <w:bookmarkStart w:id="30" w:name="Xc78d3fb6ab340fe58a655ec820585a035aec9d5"/>
    <w:p>
      <w:pPr>
        <w:pStyle w:val="Heading4"/>
      </w:pPr>
      <w:r>
        <w:t xml:space="preserve">4.1.2. Upstream Transport (Raw Materials/Components to Factory)</w:t>
      </w:r>
    </w:p>
    <w:p>
      <w:pPr>
        <w:pStyle w:val="FirstParagraph"/>
      </w:pPr>
      <w:r>
        <w:t xml:space="preserve">Assuming components from Europe transported by Ocean Freight to China for final production.</w:t>
      </w:r>
    </w:p>
    <w:p>
      <w:pPr>
        <w:numPr>
          <w:ilvl w:val="0"/>
          <w:numId w:val="1008"/>
        </w:numPr>
        <w:pStyle w:val="Compact"/>
      </w:pPr>
      <w:r>
        <w:t xml:space="preserve">Illustrative Product Weight for transport: 0.75 kg/unit</w:t>
      </w:r>
    </w:p>
    <w:p>
      <w:pPr>
        <w:numPr>
          <w:ilvl w:val="0"/>
          <w:numId w:val="1008"/>
        </w:numPr>
        <w:pStyle w:val="Compact"/>
      </w:pPr>
      <w:r>
        <w:t xml:space="preserve">Illustrative Transport Distance: rfdxzypyhr = 10,000 km (Ocean Freight)</w:t>
      </w:r>
    </w:p>
    <w:p>
      <w:pPr>
        <w:numPr>
          <w:ilvl w:val="0"/>
          <w:numId w:val="1008"/>
        </w:numPr>
        <w:pStyle w:val="Compact"/>
      </w:pPr>
      <w:r>
        <w:t xml:space="preserve">CO2e = (Weight in tonnes * Distance in km * Emission Factor)</w:t>
      </w:r>
    </w:p>
    <w:p>
      <w:pPr>
        <w:numPr>
          <w:ilvl w:val="0"/>
          <w:numId w:val="1008"/>
        </w:numPr>
        <w:pStyle w:val="Compact"/>
      </w:pPr>
      <w:r>
        <w:t xml:space="preserve">CO2e = (0.75 kg / 1000 kg/tonne) * 10,000 km * 0.016 kgCO2e/tonne-km = 0.12 kgCO2e/unit</w:t>
      </w:r>
    </w:p>
    <w:p>
      <w:pPr>
        <w:pStyle w:val="FirstParagraph"/>
      </w:pPr>
      <w:r>
        <w:rPr>
          <w:bCs/>
          <w:b/>
        </w:rPr>
        <w:t xml:space="preserve">Total Upstream Transport CO2e:</w:t>
      </w:r>
      <w:r>
        <w:t xml:space="preserve"> </w:t>
      </w:r>
      <w:r>
        <w:t xml:space="preserve">0.12 kgCO2e/unit</w:t>
      </w:r>
    </w:p>
    <w:bookmarkEnd w:id="30"/>
    <w:bookmarkEnd w:id="31"/>
    <w:bookmarkStart w:id="32" w:name="X31a83b4b70a317e445d6fef5bd812f4093a77d6"/>
    <w:p>
      <w:pPr>
        <w:pStyle w:val="Heading3"/>
      </w:pPr>
      <w:r>
        <w:t xml:space="preserve">4.2. Scope 2: Purchased Electricity (Manufacturing)</w:t>
      </w:r>
    </w:p>
    <w:p>
      <w:pPr>
        <w:pStyle w:val="FirstParagraph"/>
      </w:pPr>
      <w:r>
        <w:t xml:space="preserve">Emissions from purchased electricity for manufacturing in China.</w:t>
      </w:r>
    </w:p>
    <w:p>
      <w:pPr>
        <w:numPr>
          <w:ilvl w:val="0"/>
          <w:numId w:val="1009"/>
        </w:numPr>
        <w:pStyle w:val="Compact"/>
      </w:pPr>
      <w:r>
        <w:t xml:space="preserve">Energy Intensity: jxxutvjyiw = 10 kWh/unit</w:t>
      </w:r>
    </w:p>
    <w:p>
      <w:pPr>
        <w:numPr>
          <w:ilvl w:val="0"/>
          <w:numId w:val="1009"/>
        </w:numPr>
        <w:pStyle w:val="Compact"/>
      </w:pPr>
      <w:r>
        <w:t xml:space="preserve">Renewable Energy Usage: nuijqkvwwg = 50% (meaning 50% grid electricity used)</w:t>
      </w:r>
    </w:p>
    <w:p>
      <w:pPr>
        <w:numPr>
          <w:ilvl w:val="0"/>
          <w:numId w:val="1009"/>
        </w:numPr>
        <w:pStyle w:val="Compact"/>
      </w:pPr>
      <w:r>
        <w:t xml:space="preserve">Grid Electricity Emission Factor (China): 0.57 kgCO2e/kWh</w:t>
      </w:r>
    </w:p>
    <w:p>
      <w:pPr>
        <w:numPr>
          <w:ilvl w:val="0"/>
          <w:numId w:val="1009"/>
        </w:numPr>
        <w:pStyle w:val="Compact"/>
      </w:pPr>
      <w:r>
        <w:t xml:space="preserve">CO2e = Energy Intensity * (1 - Renewable Usage) * Grid EF</w:t>
      </w:r>
    </w:p>
    <w:p>
      <w:pPr>
        <w:numPr>
          <w:ilvl w:val="0"/>
          <w:numId w:val="1009"/>
        </w:numPr>
        <w:pStyle w:val="Compact"/>
      </w:pPr>
      <w:r>
        <w:t xml:space="preserve">CO2e = 10 kWh/unit * (1 - 0.50) * 0.57 kgCO2e/kWh = 10 * 0.5 * 0.57 = 2.85 kgCO2e/unit</w:t>
      </w:r>
    </w:p>
    <w:p>
      <w:pPr>
        <w:pStyle w:val="FirstParagraph"/>
      </w:pPr>
      <w:r>
        <w:rPr>
          <w:bCs/>
          <w:b/>
        </w:rPr>
        <w:t xml:space="preserve">Total Manufacturing Electricity CO2e:</w:t>
      </w:r>
      <w:r>
        <w:t xml:space="preserve"> </w:t>
      </w:r>
      <w:r>
        <w:t xml:space="preserve">2.85 kgCO2e/unit</w:t>
      </w:r>
    </w:p>
    <w:bookmarkEnd w:id="32"/>
    <w:bookmarkStart w:id="36" w:name="X6e35b5f3d7c1b8ed82ac5268daaec003bb92d7a"/>
    <w:p>
      <w:pPr>
        <w:pStyle w:val="Heading3"/>
      </w:pPr>
      <w:r>
        <w:t xml:space="preserve">4.3. Scope 3: Downstream Emissions (Post-Factory Gate)</w:t>
      </w:r>
    </w:p>
    <w:bookmarkStart w:id="33" w:name="Xb699b7b80852e22abe9ecd96424a68a4e8ea8f3"/>
    <w:p>
      <w:pPr>
        <w:pStyle w:val="Heading4"/>
      </w:pPr>
      <w:r>
        <w:t xml:space="preserve">4.3.1. Downstream Transport (Finished Product to Customer)</w:t>
      </w:r>
    </w:p>
    <w:p>
      <w:pPr>
        <w:pStyle w:val="FirstParagraph"/>
      </w:pPr>
      <w:r>
        <w:t xml:space="preserve">Assuming last-mile delivery from China to customer location (e.g., within China or export) via Road Freight.</w:t>
      </w:r>
    </w:p>
    <w:p>
      <w:pPr>
        <w:numPr>
          <w:ilvl w:val="0"/>
          <w:numId w:val="1010"/>
        </w:numPr>
        <w:pStyle w:val="Compact"/>
      </w:pPr>
      <w:r>
        <w:t xml:space="preserve">Illustrative Product Weight: 0.75 kg/unit</w:t>
      </w:r>
    </w:p>
    <w:p>
      <w:pPr>
        <w:numPr>
          <w:ilvl w:val="0"/>
          <w:numId w:val="1010"/>
        </w:numPr>
        <w:pStyle w:val="Compact"/>
      </w:pPr>
      <w:r>
        <w:t xml:space="preserve">Illustrative Last-Mile Delivery Distance: 500 km (Road Freight)</w:t>
      </w:r>
    </w:p>
    <w:p>
      <w:pPr>
        <w:numPr>
          <w:ilvl w:val="0"/>
          <w:numId w:val="1010"/>
        </w:numPr>
        <w:pStyle w:val="Compact"/>
      </w:pPr>
      <w:r>
        <w:t xml:space="preserve">Road Freight Emission Factor: 0.1 kgCO2e/tonne-km</w:t>
      </w:r>
    </w:p>
    <w:p>
      <w:pPr>
        <w:numPr>
          <w:ilvl w:val="0"/>
          <w:numId w:val="1010"/>
        </w:numPr>
        <w:pStyle w:val="Compact"/>
      </w:pPr>
      <w:r>
        <w:t xml:space="preserve">CO2e = (Weight in tonnes * Distance in km * Emission Factor)</w:t>
      </w:r>
    </w:p>
    <w:p>
      <w:pPr>
        <w:numPr>
          <w:ilvl w:val="0"/>
          <w:numId w:val="1010"/>
        </w:numPr>
        <w:pStyle w:val="Compact"/>
      </w:pPr>
      <w:r>
        <w:t xml:space="preserve">CO2e = (0.75 kg / 1000 kg/tonne) * 500 km * 0.1 kgCO2e/tonne-km = 0.00075 * 500 * 0.1 = 0.0375 kgCO2e/unit</w:t>
      </w:r>
    </w:p>
    <w:p>
      <w:pPr>
        <w:pStyle w:val="FirstParagraph"/>
      </w:pPr>
      <w:r>
        <w:rPr>
          <w:bCs/>
          <w:b/>
        </w:rPr>
        <w:t xml:space="preserve">Total Downstream Transport CO2e:</w:t>
      </w:r>
      <w:r>
        <w:t xml:space="preserve"> </w:t>
      </w:r>
      <w:r>
        <w:t xml:space="preserve">0.0375 kgCO2e/unit</w:t>
      </w:r>
    </w:p>
    <w:bookmarkEnd w:id="33"/>
    <w:bookmarkStart w:id="34" w:name="use-phase-emissions"/>
    <w:p>
      <w:pPr>
        <w:pStyle w:val="Heading4"/>
      </w:pPr>
      <w:r>
        <w:t xml:space="preserve">4.3.2. Use Phase Emissions</w:t>
      </w:r>
    </w:p>
    <w:p>
      <w:pPr>
        <w:pStyle w:val="FirstParagraph"/>
      </w:pPr>
      <w:r>
        <w:t xml:space="preserve">Emissions from product use over its lifespan.</w:t>
      </w:r>
    </w:p>
    <w:p>
      <w:pPr>
        <w:numPr>
          <w:ilvl w:val="0"/>
          <w:numId w:val="1011"/>
        </w:numPr>
        <w:pStyle w:val="Compact"/>
      </w:pPr>
      <w:r>
        <w:t xml:space="preserve">Product Lifespan: sqntvzxnrt = 5 years</w:t>
      </w:r>
    </w:p>
    <w:p>
      <w:pPr>
        <w:numPr>
          <w:ilvl w:val="0"/>
          <w:numId w:val="1011"/>
        </w:numPr>
        <w:pStyle w:val="Compact"/>
      </w:pPr>
      <w:r>
        <w:t xml:space="preserve">Energy Consumption in Use: tgtkvlsmgp = 20 kWh/year</w:t>
      </w:r>
    </w:p>
    <w:p>
      <w:pPr>
        <w:numPr>
          <w:ilvl w:val="0"/>
          <w:numId w:val="1011"/>
        </w:numPr>
        <w:pStyle w:val="Compact"/>
      </w:pPr>
      <w:r>
        <w:t xml:space="preserve">Electricity Grid Emission Factor (User Location): 0.4 kgCO2e/kWh (illustrative global average)</w:t>
      </w:r>
    </w:p>
    <w:p>
      <w:pPr>
        <w:numPr>
          <w:ilvl w:val="0"/>
          <w:numId w:val="1011"/>
        </w:numPr>
        <w:pStyle w:val="Compact"/>
      </w:pPr>
      <w:r>
        <w:t xml:space="preserve">CO2e = Energy Consumption per year * Lifespan * Grid EF</w:t>
      </w:r>
    </w:p>
    <w:p>
      <w:pPr>
        <w:numPr>
          <w:ilvl w:val="0"/>
          <w:numId w:val="1011"/>
        </w:numPr>
        <w:pStyle w:val="Compact"/>
      </w:pPr>
      <w:r>
        <w:t xml:space="preserve">CO2e = 20 kWh/year * 5 years * 0.4 kgCO2e/kWh = 40.00 kgCO2e/unit</w:t>
      </w:r>
    </w:p>
    <w:p>
      <w:pPr>
        <w:pStyle w:val="FirstParagraph"/>
      </w:pPr>
      <w:r>
        <w:rPr>
          <w:bCs/>
          <w:b/>
        </w:rPr>
        <w:t xml:space="preserve">Total Use Phase CO2e:</w:t>
      </w:r>
      <w:r>
        <w:t xml:space="preserve"> </w:t>
      </w:r>
      <w:r>
        <w:t xml:space="preserve">40.00 kgCO2e/unit</w:t>
      </w:r>
    </w:p>
    <w:bookmarkEnd w:id="34"/>
    <w:bookmarkStart w:id="35" w:name="end-of-life-eol-emissions"/>
    <w:p>
      <w:pPr>
        <w:pStyle w:val="Heading4"/>
      </w:pPr>
      <w:r>
        <w:t xml:space="preserve">4.3.3. End-of-Life (EoL) Emissions</w:t>
      </w:r>
    </w:p>
    <w:p>
      <w:pPr>
        <w:pStyle w:val="FirstParagraph"/>
      </w:pPr>
      <w:r>
        <w:t xml:space="preserve">Emissions (or credits) from disposal and recycling.</w:t>
      </w:r>
    </w:p>
    <w:p>
      <w:pPr>
        <w:numPr>
          <w:ilvl w:val="0"/>
          <w:numId w:val="1012"/>
        </w:numPr>
        <w:pStyle w:val="Compact"/>
      </w:pPr>
      <w:r>
        <w:t xml:space="preserve">Illustrative Product Weight (excl. packaging): 0.65 kg/unit (0.75 kg total - 0.1 kg packaging)</w:t>
      </w:r>
    </w:p>
    <w:p>
      <w:pPr>
        <w:numPr>
          <w:ilvl w:val="0"/>
          <w:numId w:val="1012"/>
        </w:numPr>
        <w:pStyle w:val="Compact"/>
      </w:pPr>
      <w:r>
        <w:t xml:space="preserve">Recyclability Percentage: huilsxszym = 70%</w:t>
      </w:r>
    </w:p>
    <w:p>
      <w:pPr>
        <w:numPr>
          <w:ilvl w:val="0"/>
          <w:numId w:val="1012"/>
        </w:numPr>
        <w:pStyle w:val="Compact"/>
      </w:pPr>
      <w:r>
        <w:t xml:space="preserve">Portion recycled: 0.65 kg * 0.70 = 0.455 kg</w:t>
      </w:r>
    </w:p>
    <w:p>
      <w:pPr>
        <w:numPr>
          <w:ilvl w:val="0"/>
          <w:numId w:val="1012"/>
        </w:numPr>
        <w:pStyle w:val="Compact"/>
      </w:pPr>
      <w:r>
        <w:t xml:space="preserve">Portion not recycled (landfill/incineration): 0.65 kg * 0.30 = 0.195 kg</w:t>
      </w:r>
    </w:p>
    <w:p>
      <w:pPr>
        <w:numPr>
          <w:ilvl w:val="0"/>
          <w:numId w:val="1012"/>
        </w:numPr>
        <w:pStyle w:val="Compact"/>
      </w:pPr>
      <w:r>
        <w:t xml:space="preserve">Recycling Credit: 0.455 kg * -0.5 kgCO2e/kg = -0.2275 kgCO2e</w:t>
      </w:r>
    </w:p>
    <w:p>
      <w:pPr>
        <w:numPr>
          <w:ilvl w:val="0"/>
          <w:numId w:val="1012"/>
        </w:numPr>
        <w:pStyle w:val="Compact"/>
      </w:pPr>
      <w:r>
        <w:t xml:space="preserve">Disposal Emission: 0.195 kg * 1.0 kgCO2e/kg = 0.195 kgCO2e</w:t>
      </w:r>
    </w:p>
    <w:p>
      <w:pPr>
        <w:pStyle w:val="FirstParagraph"/>
      </w:pPr>
      <w:r>
        <w:rPr>
          <w:bCs/>
          <w:b/>
        </w:rPr>
        <w:t xml:space="preserve">Total End-of-Life CO2e:</w:t>
      </w:r>
      <w:r>
        <w:t xml:space="preserve"> </w:t>
      </w:r>
      <w:r>
        <w:t xml:space="preserve">-0.2275 + 0.195 = -0.0325 kgCO2e/unit (Net credit due to high recycling)</w:t>
      </w:r>
    </w:p>
    <w:p>
      <w:pPr>
        <w:pStyle w:val="BodyText"/>
      </w:pPr>
      <w:r>
        <w:rPr>
          <w:bCs/>
          <w:b/>
        </w:rPr>
        <w:t xml:space="preserve">Circular/Take-back Programs (exzdfhldvu):</w:t>
      </w:r>
      <w:r>
        <w:t xml:space="preserve"> </w:t>
      </w:r>
      <w:r>
        <w:t xml:space="preserve">Company operates a regional take-back and recycling program, which supports achieving the high recyclability rates and associated emission reductions.</w:t>
      </w:r>
    </w:p>
    <w:bookmarkEnd w:id="35"/>
    <w:bookmarkEnd w:id="36"/>
    <w:bookmarkStart w:id="37" w:name="summary-of-pcf-by-scope"/>
    <w:p>
      <w:pPr>
        <w:pStyle w:val="Heading3"/>
      </w:pPr>
      <w:r>
        <w:t xml:space="preserve">4.4. Summary of PCF by Scope</w:t>
      </w:r>
    </w:p>
    <w:p>
      <w:pPr>
        <w:pStyle w:val="FirstParagraph"/>
      </w:pPr>
      <w:r>
        <w:t xml:space="preserve">The total Product Carbon Footprint for klgzglqinz is summarized below, based on illustrative calculations: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CO2e per Unit (kgCO2e)</w:t>
            </w:r>
          </w:p>
        </w:tc>
        <w:tc>
          <w:tcPr/>
          <w:p>
            <w:pPr>
              <w:pStyle w:val="Compact"/>
              <w:jc w:val="left"/>
            </w:pPr>
            <w:r>
              <w:t xml:space="preserve">Coverage (Illustrative)</w:t>
            </w:r>
          </w:p>
        </w:tc>
      </w:tr>
      <w:tr>
        <w:tc>
          <w:tcPr/>
          <w:p>
            <w:pPr>
              <w:pStyle w:val="Compact"/>
              <w:jc w:val="left"/>
            </w:pPr>
            <w:r>
              <w:rPr>
                <w:bCs/>
                <w:b/>
              </w:rPr>
              <w:t xml:space="preserve">Scope 1</w:t>
            </w:r>
          </w:p>
        </w:tc>
        <w:tc>
          <w:tcPr/>
          <w:p>
            <w:pPr>
              <w:pStyle w:val="Compact"/>
              <w:jc w:val="left"/>
            </w:pPr>
            <w:r>
              <w:t xml:space="preserve">Direct Emissions (e.g., on-site fuel combustion)</w:t>
            </w:r>
          </w:p>
        </w:tc>
        <w:tc>
          <w:tcPr/>
          <w:p>
            <w:pPr>
              <w:pStyle w:val="Compact"/>
              <w:jc w:val="left"/>
            </w:pPr>
            <w:r>
              <w:t xml:space="preserve">0.00 (assumed negligible/covered by Scope 2/3 for purchased energy)</w:t>
            </w:r>
          </w:p>
        </w:tc>
        <w:tc>
          <w:tcPr/>
          <w:p>
            <w:pPr>
              <w:pStyle w:val="Compact"/>
              <w:jc w:val="left"/>
            </w:pPr>
            <w:r>
              <w:t xml:space="preserve">-</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2.85</w:t>
            </w:r>
          </w:p>
        </w:tc>
        <w:tc>
          <w:tcPr/>
          <w:p>
            <w:pPr>
              <w:pStyle w:val="Compact"/>
              <w:jc w:val="left"/>
            </w:pPr>
            <w:r>
              <w:t xml:space="preserve">100% of direct energy purchases</w:t>
            </w:r>
          </w:p>
        </w:tc>
      </w:tr>
      <w:tr>
        <w:tc>
          <w:tcPr>
            <w:vMerge w:val="restart"/>
          </w:tcPr>
          <w:p>
            <w:pPr>
              <w:pStyle w:val="Compact"/>
              <w:jc w:val="left"/>
            </w:pPr>
            <w:r>
              <w:rPr>
                <w:bCs/>
                <w:b/>
              </w:rPr>
              <w:t xml:space="preserve">Scope 3</w:t>
            </w:r>
          </w:p>
        </w:tc>
        <w:tc>
          <w:tcPr/>
          <w:p>
            <w:pPr>
              <w:pStyle w:val="Compact"/>
              <w:jc w:val="left"/>
            </w:pPr>
            <w:r>
              <w:t xml:space="preserve">Materials (Upstream)</w:t>
            </w:r>
          </w:p>
        </w:tc>
        <w:tc>
          <w:tcPr/>
          <w:p>
            <w:pPr>
              <w:pStyle w:val="Compact"/>
              <w:jc w:val="left"/>
            </w:pPr>
            <w:r>
              <w:t xml:space="preserve">2.88</w:t>
            </w:r>
          </w:p>
        </w:tc>
        <w:tc>
          <w:tcPr/>
          <w:p>
            <w:pPr>
              <w:pStyle w:val="Compact"/>
              <w:jc w:val="left"/>
            </w:pPr>
            <w:r>
              <w:t xml:space="preserve">All major BOM items considered</w:t>
            </w:r>
          </w:p>
        </w:tc>
      </w:tr>
      <w:tr>
        <w:tc>
          <w:tcPr>
            <w:gridSpan w:val="1"/>
            <w:vMerge w:val="continue"/>
          </w:tcPr>
          <w:p>
            <w:pPr/>
          </w:p>
        </w:tc>
        <w:tc>
          <w:tcPr/>
          <w:p>
            <w:pPr>
              <w:pStyle w:val="Compact"/>
              <w:jc w:val="left"/>
            </w:pPr>
            <w:r>
              <w:t xml:space="preserve">Upstream Transport (Components)</w:t>
            </w:r>
          </w:p>
        </w:tc>
        <w:tc>
          <w:tcPr/>
          <w:p>
            <w:pPr>
              <w:pStyle w:val="Compact"/>
              <w:jc w:val="left"/>
            </w:pPr>
            <w:r>
              <w:t xml:space="preserve">0.12</w:t>
            </w:r>
          </w:p>
        </w:tc>
        <w:tc>
          <w:tcPr/>
          <w:p>
            <w:pPr>
              <w:pStyle w:val="Compact"/>
              <w:jc w:val="left"/>
            </w:pPr>
            <w:r>
              <w:t xml:space="preserve">Estimated for major inbound logistics</w:t>
            </w:r>
          </w:p>
        </w:tc>
      </w:tr>
      <w:tr>
        <w:tc>
          <w:tcPr>
            <w:gridSpan w:val="1"/>
            <w:vMerge w:val="continue"/>
          </w:tcPr>
          <w:p>
            <w:pPr/>
          </w:p>
        </w:tc>
        <w:tc>
          <w:tcPr/>
          <w:p>
            <w:pPr>
              <w:pStyle w:val="Compact"/>
              <w:jc w:val="left"/>
            </w:pPr>
            <w:r>
              <w:t xml:space="preserve">Downstream Transport (Finished Product)</w:t>
            </w:r>
          </w:p>
        </w:tc>
        <w:tc>
          <w:tcPr/>
          <w:p>
            <w:pPr>
              <w:pStyle w:val="Compact"/>
              <w:jc w:val="left"/>
            </w:pPr>
            <w:r>
              <w:t xml:space="preserve">0.0375</w:t>
            </w:r>
          </w:p>
        </w:tc>
        <w:tc>
          <w:tcPr/>
          <w:p>
            <w:pPr>
              <w:pStyle w:val="Compact"/>
              <w:jc w:val="left"/>
            </w:pPr>
            <w:r>
              <w:t xml:space="preserve">Estimated for outbound logistics</w:t>
            </w:r>
          </w:p>
        </w:tc>
      </w:tr>
      <w:tr>
        <w:tc>
          <w:tcPr>
            <w:gridSpan w:val="1"/>
            <w:vMerge w:val="continue"/>
          </w:tcPr>
          <w:p>
            <w:pPr/>
          </w:p>
        </w:tc>
        <w:tc>
          <w:tcPr/>
          <w:p>
            <w:pPr>
              <w:pStyle w:val="Compact"/>
              <w:jc w:val="left"/>
            </w:pPr>
            <w:r>
              <w:t xml:space="preserve">Use Phase</w:t>
            </w:r>
          </w:p>
        </w:tc>
        <w:tc>
          <w:tcPr/>
          <w:p>
            <w:pPr>
              <w:pStyle w:val="Compact"/>
              <w:jc w:val="left"/>
            </w:pPr>
            <w:r>
              <w:t xml:space="preserve">40.00</w:t>
            </w:r>
          </w:p>
        </w:tc>
        <w:tc>
          <w:tcPr/>
          <w:p>
            <w:pPr>
              <w:pStyle w:val="Compact"/>
              <w:jc w:val="left"/>
            </w:pPr>
            <w:r>
              <w:t xml:space="preserve">Based on assumed lifespan and energy consumption</w:t>
            </w:r>
          </w:p>
        </w:tc>
      </w:tr>
      <w:tr>
        <w:tc>
          <w:tcPr>
            <w:gridSpan w:val="1"/>
            <w:vMerge w:val="continue"/>
          </w:tcPr>
          <w:p>
            <w:pPr/>
          </w:p>
        </w:tc>
        <w:tc>
          <w:tcPr/>
          <w:p>
            <w:pPr>
              <w:pStyle w:val="Compact"/>
              <w:jc w:val="left"/>
            </w:pPr>
            <w:r>
              <w:t xml:space="preserve">End-of-Life</w:t>
            </w:r>
          </w:p>
        </w:tc>
        <w:tc>
          <w:tcPr/>
          <w:p>
            <w:pPr>
              <w:pStyle w:val="Compact"/>
              <w:jc w:val="left"/>
            </w:pPr>
            <w:r>
              <w:t xml:space="preserve">-0.0325</w:t>
            </w:r>
          </w:p>
        </w:tc>
        <w:tc>
          <w:tcPr/>
          <w:p>
            <w:pPr>
              <w:pStyle w:val="Compact"/>
              <w:jc w:val="left"/>
            </w:pPr>
            <w:r>
              <w:t xml:space="preserve">Based on recyclability and circular programs</w:t>
            </w:r>
          </w:p>
        </w:tc>
      </w:tr>
      <w:tr>
        <w:tc>
          <w:tcPr>
            <w:gridSpan w:val="2"/>
          </w:tcPr>
          <w:p>
            <w:pPr>
              <w:pStyle w:val="Compact"/>
              <w:jc w:val="left"/>
            </w:pPr>
            <w:r>
              <w:rPr>
                <w:bCs/>
                <w:b/>
              </w:rPr>
              <w:t xml:space="preserve">TOTAL PRODUCT CARBON FOOTPRINT</w:t>
            </w:r>
          </w:p>
        </w:tc>
        <w:tc>
          <w:tcPr/>
          <w:p>
            <w:pPr>
              <w:pStyle w:val="Compact"/>
              <w:jc w:val="left"/>
            </w:pPr>
            <w:r>
              <w:rPr>
                <w:bCs/>
                <w:b/>
              </w:rPr>
              <w:t xml:space="preserve">45.855 kgCO2e/unit</w:t>
            </w:r>
          </w:p>
        </w:tc>
        <w:tc>
          <w:tcPr/>
          <w:p>
            <w:pPr>
              <w:pStyle w:val="Compact"/>
              <w:jc w:val="left"/>
            </w:pPr>
            <w:r>
              <w:rPr>
                <w:bCs/>
                <w:b/>
              </w:rPr>
              <w:t xml:space="preserve">&gt;95% Scope 3 Coverage</w:t>
            </w:r>
          </w:p>
        </w:tc>
      </w:tr>
    </w:tbl>
    <w:p>
      <w:pPr>
        <w:pStyle w:val="BodyText"/>
      </w:pPr>
      <w:r>
        <w:rPr>
          <w:bCs/>
          <w:b/>
        </w:rPr>
        <w:t xml:space="preserve">Scope 3 Compliance:</w:t>
      </w:r>
      <w:r>
        <w:t xml:space="preserve"> </w:t>
      </w:r>
      <w:r>
        <w:t xml:space="preserve">This analysis targets over 95% coverage for Scope 3 emissions, in line with 2026 requirements, by comprehensively including upstream material production and transport, and downstream use phase and end-of-life impacts.</w:t>
      </w:r>
    </w:p>
    <w:p>
      <w:pPr>
        <w:pStyle w:val="BodyText"/>
      </w:pPr>
      <w:r>
        <w:rPr>
          <w:bCs/>
          <w:b/>
        </w:rPr>
        <w:t xml:space="preserve">2026 LSR Update:</w:t>
      </w:r>
      <w:r>
        <w:t xml:space="preserve"> </w:t>
      </w:r>
      <w:r>
        <w:t xml:space="preserve">The Land Sector and Removals (LSR) Standard is considered in principle. For this product, direct land use change emissions or biogenic carbon removals are not explicitly quantified in the provided data. However, the framework allows for their inclusion should specific data on forestry, agriculture, or direct carbon removal activities related to the product or its supply chain become available, ensuring compliance with future reporting standards.</w:t>
      </w:r>
    </w:p>
    <w:p>
      <w:r>
        <w:pict>
          <v:rect style="width:0;height:1.5pt" o:hralign="center" o:hrstd="t" o:hr="t"/>
        </w:pict>
      </w:r>
    </w:p>
    <w:bookmarkEnd w:id="37"/>
    <w:bookmarkEnd w:id="38"/>
    <w:bookmarkStart w:id="41"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Based on the calculations, the primary emission hotspots for klgzglqinz are:</w:t>
      </w:r>
    </w:p>
    <w:p>
      <w:pPr>
        <w:numPr>
          <w:ilvl w:val="0"/>
          <w:numId w:val="1013"/>
        </w:numPr>
        <w:pStyle w:val="Compact"/>
      </w:pPr>
      <w:r>
        <w:rPr>
          <w:bCs/>
          <w:b/>
        </w:rPr>
        <w:t xml:space="preserve">Use Phase (40.00 kgCO2e):</w:t>
      </w:r>
      <w:r>
        <w:t xml:space="preserve"> </w:t>
      </w:r>
      <w:r>
        <w:t xml:space="preserve">This is by far the largest contributor, largely due to energy consumption over the product\'s lifespan. Strategies to reduce this include improving energy efficiency, promoting renewable energy sources for users, or extending product longevity.</w:t>
      </w:r>
    </w:p>
    <w:p>
      <w:pPr>
        <w:numPr>
          <w:ilvl w:val="0"/>
          <w:numId w:val="1013"/>
        </w:numPr>
        <w:pStyle w:val="Compact"/>
      </w:pPr>
      <w:r>
        <w:rPr>
          <w:bCs/>
          <w:b/>
        </w:rPr>
        <w:t xml:space="preserve">Manufacturing Electricity (2.85 kgCO2e):</w:t>
      </w:r>
      <w:r>
        <w:t xml:space="preserve"> </w:t>
      </w:r>
      <w:r>
        <w:t xml:space="preserve">While partially offset by renewable energy usage, the remaining grid electricity consumption in China significantly contributes to the footprint. Increasing renewable energy procurement or improving manufacturing efficiency would reduce this.</w:t>
      </w:r>
    </w:p>
    <w:p>
      <w:pPr>
        <w:numPr>
          <w:ilvl w:val="0"/>
          <w:numId w:val="1013"/>
        </w:numPr>
        <w:pStyle w:val="Compact"/>
      </w:pPr>
      <w:r>
        <w:rPr>
          <w:bCs/>
          <w:b/>
        </w:rPr>
        <w:t xml:space="preserve">Materials (2.88 kgCO2e):</w:t>
      </w:r>
      <w:r>
        <w:t xml:space="preserve"> </w:t>
      </w:r>
      <w:r>
        <w:t xml:space="preserve">The selection and processing of raw materials, particularly the circuit board and plastic components, represent a significant upstream impact. Opportunities exist in optimizing material use, sourcing lower-carbon alternatives, and increasing recycled content.</w:t>
      </w:r>
    </w:p>
    <w:bookmarkEnd w:id="39"/>
    <w:bookmarkStart w:id="40" w:name="reliability-and-limitations"/>
    <w:p>
      <w:pPr>
        <w:pStyle w:val="Heading3"/>
      </w:pPr>
      <w:r>
        <w:t xml:space="preserve">5.2. Reliability and Limitations</w:t>
      </w:r>
    </w:p>
    <w:p>
      <w:pPr>
        <w:pStyle w:val="FirstParagraph"/>
      </w:pPr>
      <w:r>
        <w:t xml:space="preserve">The reliability of this PCF analysis is high due to the utilization of specific Bill of Materials data and adherence to the GHG Protocol. However, certain limitations apply:</w:t>
      </w:r>
    </w:p>
    <w:p>
      <w:pPr>
        <w:numPr>
          <w:ilvl w:val="0"/>
          <w:numId w:val="1014"/>
        </w:numPr>
        <w:pStyle w:val="Compact"/>
      </w:pPr>
      <w:r>
        <w:rPr>
          <w:bCs/>
          <w:b/>
        </w:rPr>
        <w:t xml:space="preserve">Illustrative Parameters:</w:t>
      </w:r>
      <w:r>
        <w:t xml:space="preserve"> </w:t>
      </w:r>
      <w:r>
        <w:t xml:space="preserve">For several key parameters (Transport Mode/Distance, Renewable Energy Usage, Energy Intensity, Product Lifespan, Energy Consumption in Use, Recyclability Percentage), illustrative numerical values were used for calculations. Obtaining precise, primary data for these parameters would further enhance accuracy.</w:t>
      </w:r>
    </w:p>
    <w:p>
      <w:pPr>
        <w:numPr>
          <w:ilvl w:val="0"/>
          <w:numId w:val="1014"/>
        </w:numPr>
        <w:pStyle w:val="Compact"/>
      </w:pPr>
      <w:r>
        <w:rPr>
          <w:bCs/>
          <w:b/>
        </w:rPr>
        <w:t xml:space="preserve">Emission Factors:</w:t>
      </w:r>
      <w:r>
        <w:t xml:space="preserve"> </w:t>
      </w:r>
      <w:r>
        <w:t xml:space="preserve">While industry-standard emission factors were applied (e.g., from Ecoinvent/DEFRA principles, supported by recent data), their exact relevance may vary based on specific supplier data or regional grid mixes not precisely captured.</w:t>
      </w:r>
    </w:p>
    <w:p>
      <w:pPr>
        <w:numPr>
          <w:ilvl w:val="0"/>
          <w:numId w:val="1014"/>
        </w:numPr>
        <w:pStyle w:val="Compact"/>
      </w:pPr>
      <w:r>
        <w:rPr>
          <w:bCs/>
          <w:b/>
        </w:rPr>
        <w:t xml:space="preserve">Scope 1 Emissions:</w:t>
      </w:r>
      <w:r>
        <w:t xml:space="preserve"> </w:t>
      </w:r>
      <w:r>
        <w:t xml:space="preserve">Direct Scope 1 emissions from vkiqusldsh\'s manufacturing operations (e.g., on-site fuel combustion not tied to electricity generation) are assumed negligible or implicitly covered by broader upstream factors if not explicitly provided. For a more granular analysis, these would be quantified directly.</w:t>
      </w:r>
    </w:p>
    <w:p>
      <w:pPr>
        <w:numPr>
          <w:ilvl w:val="0"/>
          <w:numId w:val="1014"/>
        </w:numPr>
        <w:pStyle w:val="Compact"/>
      </w:pPr>
      <w:r>
        <w:rPr>
          <w:bCs/>
          <w:b/>
        </w:rPr>
        <w:t xml:space="preserve">Data Gaps:</w:t>
      </w:r>
      <w:r>
        <w:t xml:space="preserve"> </w:t>
      </w:r>
      <w:r>
        <w:t xml:space="preserve">Minor data gaps in the broader supply chain (e.g., tier-2 supplier transport, small auxiliary materials) may exist, though the &gt;95% Scope 3 coverage target minimizes their overall impact.</w:t>
      </w:r>
    </w:p>
    <w:p>
      <w:pPr>
        <w:pStyle w:val="FirstParagraph"/>
      </w:pPr>
      <w:r>
        <w:t xml:space="preserve">This report serves as a robust baseline for vkiqusldsh to identify areas for carbon reduction, drive sustainable product development, and communicate environmental performance transparently.</w:t>
      </w:r>
    </w:p>
    <w:p>
      <w:pPr>
        <w:pStyle w:val="BodyText"/>
      </w:pPr>
      <w:r>
        <w:t xml:space="preserve">Confidential - Internal Use Only | Page</w:t>
      </w:r>
      <w:r>
        <w:t xml:space="preserve"> </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klgzglqinz</dc:title>
  <dc:creator/>
  <dc:description>A detailed Product Carbon Footprint (PCF) analysis report for klgzglqinz by vkiqusldsh, adhering to GHG Protocol standards and incorporating 2026 LSR updates.</dc:description>
  <dc:language>en</dc:language>
  <cp:keywords/>
  <dcterms:created xsi:type="dcterms:W3CDTF">2026-07-15T20:41:50Z</dcterms:created>
  <dcterms:modified xsi:type="dcterms:W3CDTF">2026-07-15T20:41:50Z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