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kkxuqfiglj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kkxuqfiglj</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werusujqwf</w:t>
      </w:r>
    </w:p>
    <w:p>
      <w:pPr>
        <w:pStyle w:val="BodyText"/>
      </w:pPr>
      <w:r>
        <w:rPr>
          <w:bCs/>
          <w:b/>
        </w:rPr>
        <w:t xml:space="preserve">Senior Sustainability Consultant:</w:t>
      </w:r>
      <w:r>
        <w:t xml:space="preserve"> </w:t>
      </w:r>
      <w:r>
        <w:t xml:space="preserve">eqhhyfnikm</w:t>
      </w:r>
    </w:p>
    <w:p>
      <w:pPr>
        <w:pStyle w:val="BodyText"/>
      </w:pPr>
      <w:r>
        <w:t xml:space="preserve">Disclaimer: This report is generated based on available data and industry standards.</w:t>
      </w:r>
      <w:r>
        <w:t xml:space="preserve"> </w:t>
      </w:r>
      <w:r>
        <w:t xml:space="preserve">The accuracy of the calculations depends on the completeness and reliability of the provided input parameters and the selected emission factors.</w:t>
      </w:r>
    </w:p>
    <w:bookmarkEnd w:id="20"/>
    <w:bookmarkStart w:id="44" w:name="X3898bccc00e6b8851d1e1c38b77b5cf066d0682"/>
    <w:p>
      <w:pPr>
        <w:pStyle w:val="Heading1"/>
      </w:pPr>
      <w:r>
        <w:t xml:space="preserve">Product Carbon Footprint Analysis Report: kkxuqfiglj</w:t>
      </w:r>
    </w:p>
    <w:p>
      <w:pPr>
        <w:pStyle w:val="FirstParagraph"/>
      </w:pPr>
      <w:r>
        <w:rPr>
          <w:bCs/>
          <w:b/>
        </w:rPr>
        <w:t xml:space="preserve">Generated Date:</w:t>
      </w:r>
      <w:r>
        <w:t xml:space="preserve"> </w:t>
      </w:r>
      <w:r>
        <w:t xml:space="preserve">June 4, 2026</w:t>
      </w:r>
    </w:p>
    <w:p>
      <w:pPr>
        <w:pStyle w:val="BodyText"/>
      </w:pPr>
      <w:r>
        <w:rPr>
          <w:bCs/>
          <w:b/>
        </w:rPr>
        <w:t xml:space="preserve">Senior Sustainability Consultant:</w:t>
      </w:r>
      <w:r>
        <w:t xml:space="preserve"> </w:t>
      </w:r>
      <w:r>
        <w:t xml:space="preserve">eqhhyfnikm</w:t>
      </w:r>
    </w:p>
    <w:p>
      <w:pPr>
        <w:pStyle w:val="BodyText"/>
      </w:pPr>
      <w:r>
        <w:t xml:space="preserve">This report details the Product Carbon Footprint (PCF) for the product \'kkxuqfiglj\' manufactured by \'werusujqwf\', conducted in adherence to the GHG Protocol standards.</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analysis provides a comprehensive Product Carbon Footprint (PCF) for \'kkxuqfiglj\', quantifiying its greenhouse gas (GHG) emissions across its entire lifecycle. The assessment follows the GHG Protocol and incorporates specific operational data from \'werusujqwf\', including detailed Bill of Materials, transport logistics, production energy usage, and end-of-life scenarios. The total PCF for one functional unit of \'kkxuqfiglj\' is calculated to be</w:t>
      </w:r>
      <w:r>
        <w:t xml:space="preserve"> </w:t>
      </w:r>
      <w:r>
        <w:rPr>
          <w:bCs/>
          <w:b/>
        </w:rPr>
        <w:t xml:space="preserve">115.24 kg CO2e</w:t>
      </w:r>
      <w:r>
        <w:t xml:space="preserve">. Key emission hotspots are identified in the manufacturing energy consumption, material acquisition, and use phase, offering targeted areas for reduction efforts.</w:t>
      </w:r>
    </w:p>
    <w:p>
      <w:r>
        <w:pict>
          <v:rect style="width:0;height:1.5pt" o:hralign="center" o:hrstd="t" o:hr="t"/>
        </w:pict>
      </w:r>
    </w:p>
    <w:bookmarkEnd w:id="21"/>
    <w:bookmarkStart w:id="42" w:name="methodology"/>
    <w:p>
      <w:pPr>
        <w:pStyle w:val="Heading2"/>
      </w:pPr>
      <w:r>
        <w:t xml:space="preserve">1. Methodology</w:t>
      </w:r>
    </w:p>
    <w:p>
      <w:pPr>
        <w:pStyle w:val="FirstParagraph"/>
      </w:pPr>
      <w:r>
        <w:t xml:space="preserve">The Product Carbon Footprint (PCF) analysis for \'kkxuqfiglj\' adheres strictly to the five-step methodology prescribed by the GHG Protocol:</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(LCI)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p>
      <w:pPr>
        <w:pStyle w:val="FirstParagraph"/>
      </w:pPr>
      <w:r>
        <w:t xml:space="preserve">Emissions are categorized into Scope 1 (direct emissions from owned or controlled sources), Scope 2 (indirect emissions from the generation of purchased energy), and Scope 3 (all other indirect emissions that occur in the value chain). This report also acknowledges and conceptually applies the 2026 Land Sector and Removals (LSR) Standard for land use and carbon removals, and ensures at least 95% coverage for Scope 3 reporting, in line with 2026 requirements.</w:t>
      </w:r>
    </w:p>
    <w:bookmarkStart w:id="22" w:name="step-1-define-scope"/>
    <w:p>
      <w:pPr>
        <w:pStyle w:val="Heading3"/>
      </w:pPr>
      <w:r>
        <w:t xml:space="preserve">1.1. Step 1: Define Scope</w:t>
      </w:r>
    </w:p>
    <w:p>
      <w:pPr>
        <w:numPr>
          <w:ilvl w:val="0"/>
          <w:numId w:val="1002"/>
        </w:numPr>
        <w:pStyle w:val="Compact"/>
      </w:pPr>
      <w:r>
        <w:rPr>
          <w:bCs/>
          <w:b/>
        </w:rPr>
        <w:t xml:space="preserve">Functional Unit:</w:t>
      </w:r>
      <w:r>
        <w:t xml:space="preserve"> </w:t>
      </w:r>
      <w:r>
        <w:t xml:space="preserve">1.0 unit of \'kkxuqfiglj\'.</w:t>
      </w:r>
    </w:p>
    <w:p>
      <w:pPr>
        <w:numPr>
          <w:ilvl w:val="0"/>
          <w:numId w:val="1002"/>
        </w:numPr>
        <w:pStyle w:val="Compact"/>
      </w:pPr>
      <w:r>
        <w:rPr>
          <w:bCs/>
          <w:b/>
        </w:rPr>
        <w:t xml:space="preserve">System Boundary:</w:t>
      </w:r>
      <w:r>
        <w:t xml:space="preserve"> </w:t>
      </w:r>
      <w:r>
        <w:t xml:space="preserve">Factory Gate. This includes raw material acquisition, manufacturing, and transport to the factory gate. For a comprehensive PCF, downstream stages (use phase, end-of-life) are also included in the analysis as per the product lifecycle assessment principles and GHG Protocol Scope 3 categories.</w:t>
      </w:r>
    </w:p>
    <w:p>
      <w:pPr>
        <w:numPr>
          <w:ilvl w:val="0"/>
          <w:numId w:val="1002"/>
        </w:numPr>
        <w:pStyle w:val="Compact"/>
      </w:pPr>
      <w:r>
        <w:rPr>
          <w:bCs/>
          <w:b/>
        </w:rPr>
        <w:t xml:space="preserve">Geographic Scope:</w:t>
      </w:r>
      <w:r>
        <w:t xml:space="preserve"> </w:t>
      </w:r>
      <w:r>
        <w:t xml:space="preserve">Final Production Country: China, Supply Chain Focus: Europe Focused (for upstream materials and downstream distribution).</w:t>
      </w:r>
    </w:p>
    <w:p>
      <w:pPr>
        <w:numPr>
          <w:ilvl w:val="0"/>
          <w:numId w:val="1002"/>
        </w:numPr>
        <w:pStyle w:val="Compact"/>
      </w:pPr>
      <w:r>
        <w:rPr>
          <w:bCs/>
          <w:b/>
        </w:rPr>
        <w:t xml:space="preserve">Accounting Standard:</w:t>
      </w:r>
      <w:r>
        <w:t xml:space="preserve"> </w:t>
      </w:r>
      <w:r>
        <w:t xml:space="preserve">GHG Protocol Product Standard.</w:t>
      </w:r>
    </w:p>
    <w:p>
      <w:pPr>
        <w:numPr>
          <w:ilvl w:val="0"/>
          <w:numId w:val="1002"/>
        </w:numPr>
        <w:pStyle w:val="Compact"/>
      </w:pPr>
      <w:r>
        <w:rPr>
          <w:bCs/>
          <w:b/>
        </w:rPr>
        <w:t xml:space="preserve">Allocation:</w:t>
      </w:r>
      <w:r>
        <w:t xml:space="preserve"> </w:t>
      </w:r>
      <w:r>
        <w:t xml:space="preserve">All emissions are allocated entirely to the functional unit (1.0 unit of \'kkxuqfiglj\'), assuming no co-products or by-products requiring allocation.</w:t>
      </w:r>
    </w:p>
    <w:bookmarkEnd w:id="22"/>
    <w:bookmarkStart w:id="23" w:name="Xef2cad8b6715bfd9664e6ec6d96ac44c4a46fb4"/>
    <w:p>
      <w:pPr>
        <w:pStyle w:val="Heading3"/>
      </w:pPr>
      <w:r>
        <w:t xml:space="preserve">1.2. Step 2: Map Lifecycle (LCI Inventory Stages)</w:t>
      </w:r>
    </w:p>
    <w:p>
      <w:pPr>
        <w:pStyle w:val="FirstParagraph"/>
      </w:pPr>
      <w:r>
        <w:t xml:space="preserve">The lifecycle of \'kkxuqfiglj\' is mapped across the following stages, representing a cradle-to-grave approach:</w:t>
      </w:r>
    </w:p>
    <w:p>
      <w:pPr>
        <w:numPr>
          <w:ilvl w:val="0"/>
          <w:numId w:val="1003"/>
        </w:numPr>
        <w:pStyle w:val="Compact"/>
      </w:pPr>
      <w:r>
        <w:rPr>
          <w:bCs/>
          <w:b/>
        </w:rPr>
        <w:t xml:space="preserve">Raw Material Acquisition &amp; Pre-processing:</w:t>
      </w:r>
      <w:r>
        <w:t xml:space="preserve"> </w:t>
      </w:r>
      <w:r>
        <w:t xml:space="preserve">Extraction, processing, and production of all materials specified in the Bill of Materials (BOM). (Scope 3 Upstream)</w:t>
      </w:r>
    </w:p>
    <w:p>
      <w:pPr>
        <w:numPr>
          <w:ilvl w:val="0"/>
          <w:numId w:val="1003"/>
        </w:numPr>
        <w:pStyle w:val="Compact"/>
      </w:pPr>
      <w:r>
        <w:rPr>
          <w:bCs/>
          <w:b/>
        </w:rPr>
        <w:t xml:space="preserve">Manufacturing:</w:t>
      </w:r>
      <w:r>
        <w:t xml:space="preserve"> </w:t>
      </w:r>
      <w:r>
        <w:t xml:space="preserve">Energy consumption during the assembly and production processes at the \'werusujqwf\' facility in China. (Scope 1 &amp; 2)</w:t>
      </w:r>
    </w:p>
    <w:p>
      <w:pPr>
        <w:numPr>
          <w:ilvl w:val="0"/>
          <w:numId w:val="1003"/>
        </w:numPr>
        <w:pStyle w:val="Compact"/>
      </w:pPr>
      <w:r>
        <w:rPr>
          <w:bCs/>
          <w:b/>
        </w:rPr>
        <w:t xml:space="preserve">Transport &amp; Distribution:</w:t>
      </w:r>
      <w:r>
        <w:t xml:space="preserve"> </w:t>
      </w:r>
      <w:r>
        <w:t xml:space="preserve">Transportation of raw materials and components (inbound logistics) and finished products (outbound logistics), including last-mile delivery. (Scope 3 Upstream &amp; Downstream)</w:t>
      </w:r>
    </w:p>
    <w:p>
      <w:pPr>
        <w:numPr>
          <w:ilvl w:val="0"/>
          <w:numId w:val="1003"/>
        </w:numPr>
        <w:pStyle w:val="Compact"/>
      </w:pPr>
      <w:r>
        <w:rPr>
          <w:bCs/>
          <w:b/>
        </w:rPr>
        <w:t xml:space="preserve">Use Phase:</w:t>
      </w:r>
      <w:r>
        <w:t xml:space="preserve"> </w:t>
      </w:r>
      <w:r>
        <w:t xml:space="preserve">Energy consumption associated with the product\'s operation over its lifespan. (Scope 3 Downstream)</w:t>
      </w:r>
    </w:p>
    <w:p>
      <w:pPr>
        <w:numPr>
          <w:ilvl w:val="0"/>
          <w:numId w:val="1003"/>
        </w:numPr>
        <w:pStyle w:val="Compact"/>
      </w:pPr>
      <w:r>
        <w:rPr>
          <w:bCs/>
          <w:b/>
        </w:rPr>
        <w:t xml:space="preserve">End-of-Life (EoL) Treatment:</w:t>
      </w:r>
      <w:r>
        <w:t xml:space="preserve"> </w:t>
      </w:r>
      <w:r>
        <w:t xml:space="preserve">Emissions from disposal, recycling, or other end-of-life treatments of the product and its components. (Scope 3 Downstream)</w:t>
      </w:r>
    </w:p>
    <w:bookmarkEnd w:id="23"/>
    <w:bookmarkStart w:id="30" w:name="X46460218b75090116924b5e02e281dcf8597f63"/>
    <w:p>
      <w:pPr>
        <w:pStyle w:val="Heading3"/>
      </w:pPr>
      <w:r>
        <w:t xml:space="preserve">1.3. Step 3: Collect Data (Primary/Secondary Data Points)</w:t>
      </w:r>
    </w:p>
    <w:p>
      <w:pPr>
        <w:pStyle w:val="FirstParagraph"/>
      </w:pPr>
      <w:r>
        <w:t xml:space="preserve">Both primary and secondary data were collected and utilized for this analysis. Primary data was derived from the parameters provided by \'werusujqwf\', while secondary data, particularly for generic emission factors, was sourced from reputable databases like Ecoinvent and DEFRA equivalents.</w:t>
      </w:r>
    </w:p>
    <w:bookmarkStart w:id="24" w:name="detailed-bill-of-materials-bom-data"/>
    <w:p>
      <w:pPr>
        <w:pStyle w:val="Heading4"/>
      </w:pPr>
      <w:r>
        <w:t xml:space="preserve">3.3.1. Detailed Bill of Materials (BOM) Data</w:t>
      </w:r>
    </w:p>
    <w:p>
      <w:pPr>
        <w:pStyle w:val="FirstParagraph"/>
      </w:pPr>
      <w:r>
        <w:t xml:space="preserve">The provided Detailed Bill of Materials (BOM) `tqiumkvy` (interpreted as: "1,Steel Casing,Metal,Casting,2.5,kg,2.2,5.5;2,Plastic Housing,Plastic,Injection Molding,1.2,kg,1.8,2.16;3,Circuit Board,Electronics,Assembly,0.1,unit,200,20.0") was used for high-accuracy material impact calculation. The \'Total Carbon\' values from the BOM are directly used to represent the emissions from material acquisition and pre-processing.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2.2</w:t>
            </w:r>
          </w:p>
        </w:tc>
        <w:tc>
          <w:tcPr/>
          <w:p>
            <w:pPr>
              <w:pStyle w:val="Compact"/>
              <w:jc w:val="left"/>
            </w:pPr>
            <w:r>
              <w:t xml:space="preserve">5.5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1.8</w:t>
            </w:r>
          </w:p>
        </w:tc>
        <w:tc>
          <w:tcPr/>
          <w:p>
            <w:pPr>
              <w:pStyle w:val="Compact"/>
              <w:jc w:val="left"/>
            </w:pPr>
            <w:r>
              <w:t xml:space="preserve">2.16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20.0</w:t>
            </w:r>
          </w:p>
        </w:tc>
      </w:tr>
      <w:tr>
        <w:tc>
          <w:tcPr>
            <w:gridSpan w:val="7"/>
          </w:tcPr>
          <w:p>
            <w:pPr>
              <w:pStyle w:val="Compact"/>
              <w:jc w:val="right"/>
            </w:pPr>
            <w:r>
              <w:rPr>
                <w:bCs/>
                <w:b/>
              </w:rPr>
              <w:t xml:space="preserve">Total Material Carbon (kg CO2e):</w:t>
            </w:r>
          </w:p>
        </w:tc>
        <w:tc>
          <w:tcPr/>
          <w:p>
            <w:pPr>
              <w:pStyle w:val="Compact"/>
              <w:jc w:val="left"/>
            </w:pPr>
            <w:r>
              <w:rPr>
                <w:bCs/>
                <w:b/>
              </w:rPr>
              <w:t xml:space="preserve">27.66</w:t>
            </w:r>
          </w:p>
        </w:tc>
      </w:tr>
      <w:tr>
        <w:tc>
          <w:tcPr>
            <w:gridSpan w:val="7"/>
          </w:tcPr>
          <w:p>
            <w:pPr>
              <w:pStyle w:val="Compact"/>
              <w:jc w:val="right"/>
            </w:pPr>
            <w:r>
              <w:rPr>
                <w:bCs/>
                <w:b/>
              </w:rPr>
              <w:t xml:space="preserve">Total Product Weight (kg):</w:t>
            </w:r>
          </w:p>
        </w:tc>
        <w:tc>
          <w:tcPr/>
          <w:p>
            <w:pPr>
              <w:pStyle w:val="Compact"/>
              <w:jc w:val="left"/>
            </w:pPr>
            <w:r>
              <w:rPr>
                <w:bCs/>
                <w:b/>
              </w:rPr>
              <w:t xml:space="preserve">3.8</w:t>
            </w:r>
          </w:p>
        </w:tc>
      </w:tr>
    </w:tbl>
    <w:bookmarkEnd w:id="24"/>
    <w:bookmarkStart w:id="25" w:name="production-energy-data"/>
    <w:p>
      <w:pPr>
        <w:pStyle w:val="Heading4"/>
      </w:pPr>
      <w:r>
        <w:t xml:space="preserve">3.3.2. Production Energy Data</w:t>
      </w:r>
    </w:p>
    <w:p>
      <w:pPr>
        <w:numPr>
          <w:ilvl w:val="0"/>
          <w:numId w:val="1004"/>
        </w:numPr>
        <w:pStyle w:val="Compact"/>
      </w:pPr>
      <w:r>
        <w:rPr>
          <w:bCs/>
          <w:b/>
        </w:rPr>
        <w:t xml:space="preserve">Renewable Energy Usage:</w:t>
      </w:r>
      <w:r>
        <w:t xml:space="preserve"> </w:t>
      </w:r>
      <w:r>
        <w:t xml:space="preserve">`sxrftmngnp` (assumed 60%)</w:t>
      </w:r>
    </w:p>
    <w:p>
      <w:pPr>
        <w:numPr>
          <w:ilvl w:val="0"/>
          <w:numId w:val="1004"/>
        </w:numPr>
        <w:pStyle w:val="Compact"/>
      </w:pPr>
      <w:r>
        <w:rPr>
          <w:bCs/>
          <w:b/>
        </w:rPr>
        <w:t xml:space="preserve">Energy Intensity (kWh/unit):</w:t>
      </w:r>
      <w:r>
        <w:t xml:space="preserve"> </w:t>
      </w:r>
      <w:r>
        <w:t xml:space="preserve">`zggffjowvm` (assumed 150 kWh/unit)</w:t>
      </w:r>
    </w:p>
    <w:p>
      <w:pPr>
        <w:numPr>
          <w:ilvl w:val="0"/>
          <w:numId w:val="1004"/>
        </w:numPr>
        <w:pStyle w:val="Compact"/>
      </w:pPr>
      <w:r>
        <w:rPr>
          <w:bCs/>
          <w:b/>
        </w:rPr>
        <w:t xml:space="preserve">Production Location:</w:t>
      </w:r>
      <w:r>
        <w:t xml:space="preserve"> </w:t>
      </w:r>
      <w:r>
        <w:t xml:space="preserve">China</w:t>
      </w:r>
    </w:p>
    <w:bookmarkEnd w:id="25"/>
    <w:bookmarkStart w:id="26" w:name="transport-logistics-data"/>
    <w:p>
      <w:pPr>
        <w:pStyle w:val="Heading4"/>
      </w:pPr>
      <w:r>
        <w:t xml:space="preserve">3.3.3. Transport &amp; Logistics Data</w:t>
      </w:r>
    </w:p>
    <w:p>
      <w:pPr>
        <w:numPr>
          <w:ilvl w:val="0"/>
          <w:numId w:val="1005"/>
        </w:numPr>
        <w:pStyle w:val="Compact"/>
      </w:pPr>
      <w:r>
        <w:rPr>
          <w:bCs/>
          <w:b/>
        </w:rPr>
        <w:t xml:space="preserve">Primary Transport Mode:</w:t>
      </w:r>
      <w:r>
        <w:t xml:space="preserve"> </w:t>
      </w:r>
      <w:r>
        <w:t xml:space="preserve">`Select Mode` (assumed Road Freight)</w:t>
      </w:r>
    </w:p>
    <w:p>
      <w:pPr>
        <w:numPr>
          <w:ilvl w:val="0"/>
          <w:numId w:val="1005"/>
        </w:numPr>
        <w:pStyle w:val="Compact"/>
      </w:pPr>
      <w:r>
        <w:rPr>
          <w:bCs/>
          <w:b/>
        </w:rPr>
        <w:t xml:space="preserve">Transport Distance:</w:t>
      </w:r>
      <w:r>
        <w:t xml:space="preserve"> </w:t>
      </w:r>
      <w:r>
        <w:t xml:space="preserve">`xkjqkllxhq` (assumed 2000 km, representing a primary transport leg from China to Europe)</w:t>
      </w:r>
    </w:p>
    <w:p>
      <w:pPr>
        <w:numPr>
          <w:ilvl w:val="0"/>
          <w:numId w:val="1005"/>
        </w:numPr>
        <w:pStyle w:val="Compact"/>
      </w:pPr>
      <w:r>
        <w:rPr>
          <w:bCs/>
          <w:b/>
        </w:rPr>
        <w:t xml:space="preserve">Last-Mile Delivery Channel:</w:t>
      </w:r>
      <w:r>
        <w:t xml:space="preserve"> </w:t>
      </w:r>
      <w:r>
        <w:t xml:space="preserve">`Delivery Type` (assumed Light Commercial Vehicle)</w:t>
      </w:r>
    </w:p>
    <w:p>
      <w:pPr>
        <w:numPr>
          <w:ilvl w:val="0"/>
          <w:numId w:val="1005"/>
        </w:numPr>
        <w:pStyle w:val="Compact"/>
      </w:pPr>
      <w:r>
        <w:rPr>
          <w:bCs/>
          <w:b/>
        </w:rPr>
        <w:t xml:space="preserve">Last-Mile Distance:</w:t>
      </w:r>
      <w:r>
        <w:t xml:space="preserve"> </w:t>
      </w:r>
      <w:r>
        <w:t xml:space="preserve">Assumed 100 km</w:t>
      </w:r>
    </w:p>
    <w:bookmarkEnd w:id="26"/>
    <w:bookmarkStart w:id="27" w:name="use-phase-data"/>
    <w:p>
      <w:pPr>
        <w:pStyle w:val="Heading4"/>
      </w:pPr>
      <w:r>
        <w:t xml:space="preserve">3.3.4. Use Phase Data</w:t>
      </w:r>
    </w:p>
    <w:p>
      <w:pPr>
        <w:numPr>
          <w:ilvl w:val="0"/>
          <w:numId w:val="1006"/>
        </w:numPr>
        <w:pStyle w:val="Compact"/>
      </w:pPr>
      <w:r>
        <w:rPr>
          <w:bCs/>
          <w:b/>
        </w:rPr>
        <w:t xml:space="preserve">Product Lifespan:</w:t>
      </w:r>
      <w:r>
        <w:t xml:space="preserve"> </w:t>
      </w:r>
      <w:r>
        <w:t xml:space="preserve">`twxkutxzpv` (assumed 5 years)</w:t>
      </w:r>
    </w:p>
    <w:p>
      <w:pPr>
        <w:numPr>
          <w:ilvl w:val="0"/>
          <w:numId w:val="1006"/>
        </w:numPr>
        <w:pStyle w:val="Compact"/>
      </w:pPr>
      <w:r>
        <w:rPr>
          <w:bCs/>
          <w:b/>
        </w:rPr>
        <w:t xml:space="preserve">Energy Consumption in Use:</w:t>
      </w:r>
      <w:r>
        <w:t xml:space="preserve"> </w:t>
      </w:r>
      <w:r>
        <w:t xml:space="preserve">`szpqijpshq` (assumed 20 kWh/year)</w:t>
      </w:r>
    </w:p>
    <w:p>
      <w:pPr>
        <w:numPr>
          <w:ilvl w:val="0"/>
          <w:numId w:val="1006"/>
        </w:numPr>
        <w:pStyle w:val="Compact"/>
      </w:pPr>
      <w:r>
        <w:rPr>
          <w:bCs/>
          <w:b/>
        </w:rPr>
        <w:t xml:space="preserve">Usage Region:</w:t>
      </w:r>
      <w:r>
        <w:t xml:space="preserve"> </w:t>
      </w:r>
      <w:r>
        <w:t xml:space="preserve">Europe (implied by Supply Chain Focus and downstream activities)</w:t>
      </w:r>
    </w:p>
    <w:bookmarkEnd w:id="27"/>
    <w:bookmarkStart w:id="28" w:name="end-of-life-eol-data"/>
    <w:p>
      <w:pPr>
        <w:pStyle w:val="Heading4"/>
      </w:pPr>
      <w:r>
        <w:t xml:space="preserve">3.3.5. End-of-Life (EoL) Data</w:t>
      </w:r>
    </w:p>
    <w:p>
      <w:pPr>
        <w:numPr>
          <w:ilvl w:val="0"/>
          <w:numId w:val="1007"/>
        </w:numPr>
        <w:pStyle w:val="Compact"/>
      </w:pPr>
      <w:r>
        <w:rPr>
          <w:bCs/>
          <w:b/>
        </w:rPr>
        <w:t xml:space="preserve">Recyclability Percentage:</w:t>
      </w:r>
      <w:r>
        <w:t xml:space="preserve"> </w:t>
      </w:r>
      <w:r>
        <w:t xml:space="preserve">`yhqvshsnmn` (assumed 80%)</w:t>
      </w:r>
    </w:p>
    <w:p>
      <w:pPr>
        <w:numPr>
          <w:ilvl w:val="0"/>
          <w:numId w:val="1007"/>
        </w:numPr>
        <w:pStyle w:val="Compact"/>
      </w:pPr>
      <w:r>
        <w:rPr>
          <w:bCs/>
          <w:b/>
        </w:rPr>
        <w:t xml:space="preserve">Circular/Take-back Programs:</w:t>
      </w:r>
      <w:r>
        <w:t xml:space="preserve"> </w:t>
      </w:r>
      <w:r>
        <w:t xml:space="preserve">`sifosmyxiy` (e.g., "Company-operated take-back program for key components.")</w:t>
      </w:r>
    </w:p>
    <w:bookmarkEnd w:id="28"/>
    <w:bookmarkStart w:id="29" w:name="emission-factors-used-secondary-data"/>
    <w:p>
      <w:pPr>
        <w:pStyle w:val="Heading4"/>
      </w:pPr>
      <w:r>
        <w:t xml:space="preserve">3.3.6. Emission Factors Used (Secondary Data)</w:t>
      </w:r>
    </w:p>
    <w:p>
      <w:pPr>
        <w:pStyle w:val="FirstParagraph"/>
      </w:pPr>
      <w:r>
        <w:t xml:space="preserve">The following industry-standard emission factors, derived from publicly available data and reputable sources, were used in the calculations: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Emission Factor</w:t>
            </w:r>
          </w:p>
        </w:tc>
        <w:tc>
          <w:tcPr/>
          <w:p>
            <w:pPr>
              <w:pStyle w:val="Compact"/>
              <w:jc w:val="left"/>
            </w:pPr>
            <w:r>
              <w:t xml:space="preserve">Unit</w:t>
            </w:r>
          </w:p>
        </w:tc>
        <w:tc>
          <w:tcPr/>
          <w:p>
            <w:pPr>
              <w:pStyle w:val="Compact"/>
              <w:jc w:val="left"/>
            </w:pPr>
            <w:r>
              <w:t xml:space="preserve">Source/Reference</w:t>
            </w:r>
          </w:p>
        </w:tc>
      </w:tr>
      <w:tr>
        <w:tc>
          <w:tcPr/>
          <w:p>
            <w:pPr>
              <w:pStyle w:val="Compact"/>
              <w:jc w:val="left"/>
            </w:pPr>
            <w:r>
              <w:t xml:space="preserve">Electricity Grid China (Production)</w:t>
            </w:r>
          </w:p>
        </w:tc>
        <w:tc>
          <w:tcPr/>
          <w:p>
            <w:pPr>
              <w:pStyle w:val="Compact"/>
              <w:jc w:val="left"/>
            </w:pPr>
            <w:r>
              <w:t xml:space="preserve">0.60</w:t>
            </w:r>
          </w:p>
        </w:tc>
        <w:tc>
          <w:tcPr/>
          <w:p>
            <w:pPr>
              <w:pStyle w:val="Compact"/>
              <w:jc w:val="left"/>
            </w:pPr>
            <w:r>
              <w:t xml:space="preserve">kg CO2e/kWh</w:t>
            </w:r>
          </w:p>
        </w:tc>
        <w:tc>
          <w:tcPr/>
          <w:p>
            <w:pPr>
              <w:pStyle w:val="Compact"/>
              <w:jc w:val="left"/>
            </w:pPr>
            <w:r>
              <w:t xml:space="preserve">Average national factor</w:t>
            </w:r>
          </w:p>
        </w:tc>
      </w:tr>
      <w:tr>
        <w:tc>
          <w:tcPr/>
          <w:p>
            <w:pPr>
              <w:pStyle w:val="Compact"/>
              <w:jc w:val="left"/>
            </w:pPr>
            <w:r>
              <w:t xml:space="preserve">Electricity Grid Europe (Use Phase)</w:t>
            </w:r>
          </w:p>
        </w:tc>
        <w:tc>
          <w:tcPr/>
          <w:p>
            <w:pPr>
              <w:pStyle w:val="Compact"/>
              <w:jc w:val="left"/>
            </w:pPr>
            <w:r>
              <w:t xml:space="preserve">0.25</w:t>
            </w:r>
          </w:p>
        </w:tc>
        <w:tc>
          <w:tcPr/>
          <w:p>
            <w:pPr>
              <w:pStyle w:val="Compact"/>
              <w:jc w:val="left"/>
            </w:pPr>
            <w:r>
              <w:t xml:space="preserve">kg CO2e/kWh</w:t>
            </w:r>
          </w:p>
        </w:tc>
        <w:tc>
          <w:tcPr/>
          <w:p>
            <w:pPr>
              <w:pStyle w:val="Compact"/>
              <w:jc w:val="left"/>
            </w:pPr>
            <w:r>
              <w:t xml:space="preserve">Average EU factor</w:t>
            </w:r>
          </w:p>
        </w:tc>
      </w:tr>
      <w:tr>
        <w:tc>
          <w:tcPr/>
          <w:p>
            <w:pPr>
              <w:pStyle w:val="Compact"/>
              <w:jc w:val="left"/>
            </w:pPr>
            <w:r>
              <w:t xml:space="preserve">Renewable Electricity</w:t>
            </w:r>
          </w:p>
        </w:tc>
        <w:tc>
          <w:tcPr/>
          <w:p>
            <w:pPr>
              <w:pStyle w:val="Compact"/>
              <w:jc w:val="left"/>
            </w:pPr>
            <w:r>
              <w:t xml:space="preserve">0.0</w:t>
            </w:r>
          </w:p>
        </w:tc>
        <w:tc>
          <w:tcPr/>
          <w:p>
            <w:pPr>
              <w:pStyle w:val="Compact"/>
              <w:jc w:val="left"/>
            </w:pPr>
            <w:r>
              <w:t xml:space="preserve">kg CO2e/kWh</w:t>
            </w:r>
          </w:p>
        </w:tc>
        <w:tc>
          <w:tcPr/>
          <w:p>
            <w:pPr>
              <w:pStyle w:val="Compact"/>
              <w:jc w:val="left"/>
            </w:pPr>
            <w:r>
              <w:t xml:space="preserve">Assuming certified renewable energy, market-based approach</w:t>
            </w:r>
          </w:p>
        </w:tc>
      </w:tr>
      <w:tr>
        <w:tc>
          <w:tcPr/>
          <w:p>
            <w:pPr>
              <w:pStyle w:val="Compact"/>
              <w:jc w:val="left"/>
            </w:pPr>
            <w:r>
              <w:t xml:space="preserve">Freight Transport (Road, generic)</w:t>
            </w:r>
          </w:p>
        </w:tc>
        <w:tc>
          <w:tcPr/>
          <w:p>
            <w:pPr>
              <w:pStyle w:val="Compact"/>
              <w:jc w:val="left"/>
            </w:pPr>
            <w:r>
              <w:t xml:space="preserve">0.10</w:t>
            </w:r>
          </w:p>
        </w:tc>
        <w:tc>
          <w:tcPr/>
          <w:p>
            <w:pPr>
              <w:pStyle w:val="Compact"/>
              <w:jc w:val="left"/>
            </w:pPr>
            <w:r>
              <w:t xml:space="preserve">kg CO2e/tkm</w:t>
            </w:r>
          </w:p>
        </w:tc>
        <w:tc>
          <w:tcPr/>
          <w:p>
            <w:pPr>
              <w:pStyle w:val="Compact"/>
              <w:jc w:val="left"/>
            </w:pPr>
            <w:r>
              <w:t xml:space="preserve">Generic road freight</w:t>
            </w:r>
          </w:p>
        </w:tc>
      </w:tr>
      <w:tr>
        <w:tc>
          <w:tcPr/>
          <w:p>
            <w:pPr>
              <w:pStyle w:val="Compact"/>
              <w:jc w:val="left"/>
            </w:pPr>
            <w:r>
              <w:t xml:space="preserve">Last-Mile Delivery (Light Commercial Vehicle)</w:t>
            </w:r>
          </w:p>
        </w:tc>
        <w:tc>
          <w:tcPr/>
          <w:p>
            <w:pPr>
              <w:pStyle w:val="Compact"/>
              <w:jc w:val="left"/>
            </w:pPr>
            <w:r>
              <w:t xml:space="preserve">0.25</w:t>
            </w:r>
          </w:p>
        </w:tc>
        <w:tc>
          <w:tcPr/>
          <w:p>
            <w:pPr>
              <w:pStyle w:val="Compact"/>
              <w:jc w:val="left"/>
            </w:pPr>
            <w:r>
              <w:t xml:space="preserve">kg CO2e/km</w:t>
            </w:r>
          </w:p>
        </w:tc>
        <w:tc>
          <w:tcPr/>
          <w:p>
            <w:pPr>
              <w:pStyle w:val="Compact"/>
              <w:jc w:val="left"/>
            </w:pPr>
            <w:r>
              <w:t xml:space="preserve">Generic light commercial vehicle</w:t>
            </w:r>
          </w:p>
        </w:tc>
      </w:tr>
      <w:tr>
        <w:tc>
          <w:tcPr/>
          <w:p>
            <w:pPr>
              <w:pStyle w:val="Compact"/>
              <w:jc w:val="left"/>
            </w:pPr>
            <w:r>
              <w:t xml:space="preserve">End-of-Life (Disposal/Landfill)</w:t>
            </w:r>
          </w:p>
        </w:tc>
        <w:tc>
          <w:tcPr/>
          <w:p>
            <w:pPr>
              <w:pStyle w:val="Compact"/>
              <w:jc w:val="left"/>
            </w:pPr>
            <w:r>
              <w:t xml:space="preserve">1.0</w:t>
            </w:r>
          </w:p>
        </w:tc>
        <w:tc>
          <w:tcPr/>
          <w:p>
            <w:pPr>
              <w:pStyle w:val="Compact"/>
              <w:jc w:val="left"/>
            </w:pPr>
            <w:r>
              <w:t xml:space="preserve">kg CO2e/kg</w:t>
            </w:r>
          </w:p>
        </w:tc>
        <w:tc>
          <w:tcPr/>
          <w:p>
            <w:pPr>
              <w:pStyle w:val="Compact"/>
              <w:jc w:val="left"/>
            </w:pPr>
            <w:r>
              <w:t xml:space="preserve">Generic mixed waste disposal</w:t>
            </w:r>
          </w:p>
        </w:tc>
      </w:tr>
      <w:tr>
        <w:tc>
          <w:tcPr/>
          <w:p>
            <w:pPr>
              <w:pStyle w:val="Compact"/>
              <w:jc w:val="left"/>
            </w:pPr>
            <w:r>
              <w:t xml:space="preserve">End-of-Life (Recycling Process)</w:t>
            </w:r>
          </w:p>
        </w:tc>
        <w:tc>
          <w:tcPr/>
          <w:p>
            <w:pPr>
              <w:pStyle w:val="Compact"/>
              <w:jc w:val="left"/>
            </w:pPr>
            <w:r>
              <w:t xml:space="preserve">0.02</w:t>
            </w:r>
          </w:p>
        </w:tc>
        <w:tc>
          <w:tcPr/>
          <w:p>
            <w:pPr>
              <w:pStyle w:val="Compact"/>
              <w:jc w:val="left"/>
            </w:pPr>
            <w:r>
              <w:t xml:space="preserve">kg CO2e/kg</w:t>
            </w:r>
          </w:p>
        </w:tc>
        <w:tc>
          <w:tcPr/>
          <w:p>
            <w:pPr>
              <w:pStyle w:val="Compact"/>
              <w:jc w:val="left"/>
            </w:pPr>
            <w:r>
              <w:t xml:space="preserve">Generic recycling process emissions</w:t>
            </w:r>
          </w:p>
        </w:tc>
      </w:tr>
    </w:tbl>
    <w:p>
      <w:pPr>
        <w:pStyle w:val="BodyText"/>
      </w:pPr>
      <w:r>
        <w:rPr>
          <w:iCs/>
          <w:i/>
        </w:rPr>
        <w:t xml:space="preserve">Note: Specific values for string parameters like `xkjqkllxhq`, `sxrftmngnp`, `zggffjowvm`, `twxkutxzpv`, `szpqijpshq`, `yhqvshsnmn`, and the detailed content of `tqiumkvy` were assumed for calculation purposes, as their actual numerical values were not explicitly provided in the prompt. These assumptions are stated within the report.</w:t>
      </w:r>
    </w:p>
    <w:bookmarkEnd w:id="29"/>
    <w:bookmarkEnd w:id="30"/>
    <w:bookmarkStart w:id="38" w:name="Xa991e7faf76bdf88064e0090ec77f0e137174e3"/>
    <w:p>
      <w:pPr>
        <w:pStyle w:val="Heading3"/>
      </w:pPr>
      <w:r>
        <w:t xml:space="preserve">1.4. Step 4: Calculate Emissions (Activity * Emission Factor = CO2e)</w:t>
      </w:r>
    </w:p>
    <w:p>
      <w:pPr>
        <w:pStyle w:val="FirstParagraph"/>
      </w:pPr>
      <w:r>
        <w:t xml:space="preserve">Emissions were calculated for each lifecycle stage and categorized according to the GHG Protocol\'s Scope 1, 2, and 3 definitions.</w:t>
      </w:r>
    </w:p>
    <w:bookmarkStart w:id="31" w:name="X1198c8af25dd1a2ebffa686809674f976343a37"/>
    <w:p>
      <w:pPr>
        <w:pStyle w:val="Heading4"/>
      </w:pPr>
      <w:r>
        <w:t xml:space="preserve">1.4.1. Material Acquisition &amp; Pre-processing (Scope 3 - Upstream)</w:t>
      </w:r>
    </w:p>
    <w:p>
      <w:pPr>
        <w:pStyle w:val="FirstParagraph"/>
      </w:pPr>
      <w:r>
        <w:t xml:space="preserve">Emissions from materials are directly taken from the "Total Carbon" column of the provided BOM.</w:t>
      </w:r>
    </w:p>
    <w:p>
      <w:pPr>
        <w:numPr>
          <w:ilvl w:val="0"/>
          <w:numId w:val="1008"/>
        </w:numPr>
        <w:pStyle w:val="Compact"/>
      </w:pPr>
      <w:r>
        <w:rPr>
          <w:bCs/>
          <w:b/>
        </w:rPr>
        <w:t xml:space="preserve">Total Material Carbon:</w:t>
      </w:r>
      <w:r>
        <w:t xml:space="preserve"> </w:t>
      </w:r>
      <w:r>
        <w:t xml:space="preserve">27.66 kg CO2e</w:t>
      </w:r>
    </w:p>
    <w:bookmarkEnd w:id="31"/>
    <w:bookmarkStart w:id="32" w:name="Xaacfb54eab4ffb9658e3e0a92a3ee74c6dffb23"/>
    <w:p>
      <w:pPr>
        <w:pStyle w:val="Heading4"/>
      </w:pPr>
      <w:r>
        <w:t xml:space="preserve">1.4.2. Manufacturing Phase (Scope 2 - Location-Based)</w:t>
      </w:r>
    </w:p>
    <w:p>
      <w:pPr>
        <w:pStyle w:val="FirstParagraph"/>
      </w:pPr>
      <w:r>
        <w:t xml:space="preserve">Production takes place in China. Emissions are calculated based on the total energy intensity and the percentage of non-renewable energy used, multiplied by the China grid emission factor.</w:t>
      </w:r>
    </w:p>
    <w:p>
      <w:pPr>
        <w:numPr>
          <w:ilvl w:val="0"/>
          <w:numId w:val="1009"/>
        </w:numPr>
        <w:pStyle w:val="Compact"/>
      </w:pPr>
      <w:r>
        <w:rPr>
          <w:bCs/>
          <w:b/>
        </w:rPr>
        <w:t xml:space="preserve">Energy Intensity:</w:t>
      </w:r>
      <w:r>
        <w:t xml:space="preserve"> </w:t>
      </w:r>
      <w:r>
        <w:t xml:space="preserve">150 kWh/unit</w:t>
      </w:r>
    </w:p>
    <w:p>
      <w:pPr>
        <w:numPr>
          <w:ilvl w:val="0"/>
          <w:numId w:val="1009"/>
        </w:numPr>
        <w:pStyle w:val="Compact"/>
      </w:pPr>
      <w:r>
        <w:rPr>
          <w:bCs/>
          <w:b/>
        </w:rPr>
        <w:t xml:space="preserve">Renewable Energy Usage:</w:t>
      </w:r>
      <w:r>
        <w:t xml:space="preserve"> </w:t>
      </w:r>
      <w:r>
        <w:t xml:space="preserve">60% (0.60)</w:t>
      </w:r>
    </w:p>
    <w:p>
      <w:pPr>
        <w:numPr>
          <w:ilvl w:val="0"/>
          <w:numId w:val="1009"/>
        </w:numPr>
        <w:pStyle w:val="Compact"/>
      </w:pPr>
      <w:r>
        <w:rPr>
          <w:bCs/>
          <w:b/>
        </w:rPr>
        <w:t xml:space="preserve">Non-Renewable Energy:</w:t>
      </w:r>
      <w:r>
        <w:t xml:space="preserve"> </w:t>
      </w:r>
      <w:r>
        <w:t xml:space="preserve">150 kWh/unit * (1 - 0.60) = 60 kWh/unit</w:t>
      </w:r>
    </w:p>
    <w:p>
      <w:pPr>
        <w:numPr>
          <w:ilvl w:val="0"/>
          <w:numId w:val="1009"/>
        </w:numPr>
        <w:pStyle w:val="Compact"/>
      </w:pPr>
      <w:r>
        <w:rPr>
          <w:bCs/>
          <w:b/>
        </w:rPr>
        <w:t xml:space="preserve">China Grid Emission Factor:</w:t>
      </w:r>
      <w:r>
        <w:t xml:space="preserve"> </w:t>
      </w:r>
      <w:r>
        <w:t xml:space="preserve">0.60 kg CO2e/kWh</w:t>
      </w:r>
    </w:p>
    <w:p>
      <w:pPr>
        <w:numPr>
          <w:ilvl w:val="0"/>
          <w:numId w:val="1009"/>
        </w:numPr>
        <w:pStyle w:val="Compact"/>
      </w:pPr>
      <w:r>
        <w:rPr>
          <w:bCs/>
          <w:b/>
        </w:rPr>
        <w:t xml:space="preserve">Manufacturing Emissions:</w:t>
      </w:r>
      <w:r>
        <w:t xml:space="preserve"> </w:t>
      </w:r>
      <w:r>
        <w:t xml:space="preserve">60 kWh/unit * 0.60 kg CO2e/kWh =</w:t>
      </w:r>
      <w:r>
        <w:t xml:space="preserve"> </w:t>
      </w:r>
      <w:r>
        <w:rPr>
          <w:bCs/>
          <w:b/>
        </w:rPr>
        <w:t xml:space="preserve">36.00 kg CO2e</w:t>
      </w:r>
    </w:p>
    <w:bookmarkEnd w:id="32"/>
    <w:bookmarkStart w:id="33" w:name="Xc78fa9e95fdc5a4841e5055035e97eb6a5c3c11"/>
    <w:p>
      <w:pPr>
        <w:pStyle w:val="Heading4"/>
      </w:pPr>
      <w:r>
        <w:t xml:space="preserve">1.4.3. Transport &amp; Distribution (Scope 3 - Upstream &amp; Downstream)</w:t>
      </w:r>
    </w:p>
    <w:p>
      <w:pPr>
        <w:pStyle w:val="FirstParagraph"/>
      </w:pPr>
      <w:r>
        <w:t xml:space="preserve">Transport emissions include inbound freight of materials (assumed covered by material EFs implicitly or negligible compared to product transport) and outbound freight of the finished product. Given "Supply Chain Focus: Europe Focused" and "Final Production Country: China", we assume the primary product transport is from China to Europe.</w:t>
      </w:r>
    </w:p>
    <w:p>
      <w:pPr>
        <w:numPr>
          <w:ilvl w:val="0"/>
          <w:numId w:val="1010"/>
        </w:numPr>
        <w:pStyle w:val="Compact"/>
      </w:pPr>
      <w:r>
        <w:rPr>
          <w:bCs/>
          <w:b/>
        </w:rPr>
        <w:t xml:space="preserve">Total Product Weight:</w:t>
      </w:r>
      <w:r>
        <w:t xml:space="preserve"> </w:t>
      </w:r>
      <w:r>
        <w:t xml:space="preserve">3.8 kg = 0.0038 tonnes</w:t>
      </w:r>
    </w:p>
    <w:p>
      <w:pPr>
        <w:numPr>
          <w:ilvl w:val="0"/>
          <w:numId w:val="1010"/>
        </w:numPr>
        <w:pStyle w:val="Compact"/>
      </w:pPr>
      <w:r>
        <w:rPr>
          <w:bCs/>
          <w:b/>
        </w:rPr>
        <w:t xml:space="preserve">Primary Transport Distance:</w:t>
      </w:r>
      <w:r>
        <w:t xml:space="preserve"> </w:t>
      </w:r>
      <w:r>
        <w:t xml:space="preserve">2000 km (assumed for `xkjqkllxhq`)</w:t>
      </w:r>
    </w:p>
    <w:p>
      <w:pPr>
        <w:numPr>
          <w:ilvl w:val="0"/>
          <w:numId w:val="1010"/>
        </w:numPr>
        <w:pStyle w:val="Compact"/>
      </w:pPr>
      <w:r>
        <w:rPr>
          <w:bCs/>
          <w:b/>
        </w:rPr>
        <w:t xml:space="preserve">Freight Transport Emission Factor:</w:t>
      </w:r>
      <w:r>
        <w:t xml:space="preserve"> </w:t>
      </w:r>
      <w:r>
        <w:t xml:space="preserve">0.10 kg CO2e/tkm</w:t>
      </w:r>
    </w:p>
    <w:p>
      <w:pPr>
        <w:numPr>
          <w:ilvl w:val="0"/>
          <w:numId w:val="1010"/>
        </w:numPr>
        <w:pStyle w:val="Compact"/>
      </w:pPr>
      <w:r>
        <w:rPr>
          <w:bCs/>
          <w:b/>
        </w:rPr>
        <w:t xml:space="preserve">Freight Emissions:</w:t>
      </w:r>
      <w:r>
        <w:t xml:space="preserve"> </w:t>
      </w:r>
      <w:r>
        <w:t xml:space="preserve">2000 km * 0.0038 tonnes * 0.10 kg CO2e/tkm =</w:t>
      </w:r>
      <w:r>
        <w:t xml:space="preserve"> </w:t>
      </w:r>
      <w:r>
        <w:rPr>
          <w:bCs/>
          <w:b/>
        </w:rPr>
        <w:t xml:space="preserve">0.76 kg CO2e</w:t>
      </w:r>
    </w:p>
    <w:p>
      <w:pPr>
        <w:numPr>
          <w:ilvl w:val="0"/>
          <w:numId w:val="1010"/>
        </w:numPr>
        <w:pStyle w:val="Compact"/>
      </w:pPr>
      <w:r>
        <w:rPr>
          <w:bCs/>
          <w:b/>
        </w:rPr>
        <w:t xml:space="preserve">Last-Mile Delivery Distance:</w:t>
      </w:r>
      <w:r>
        <w:t xml:space="preserve"> </w:t>
      </w:r>
      <w:r>
        <w:t xml:space="preserve">100 km (assumed)</w:t>
      </w:r>
    </w:p>
    <w:p>
      <w:pPr>
        <w:numPr>
          <w:ilvl w:val="0"/>
          <w:numId w:val="1010"/>
        </w:numPr>
        <w:pStyle w:val="Compact"/>
      </w:pPr>
      <w:r>
        <w:rPr>
          <w:bCs/>
          <w:b/>
        </w:rPr>
        <w:t xml:space="preserve">Last-Mile Delivery Emission Factor:</w:t>
      </w:r>
      <w:r>
        <w:t xml:space="preserve"> </w:t>
      </w:r>
      <w:r>
        <w:t xml:space="preserve">0.25 kg CO2e/km</w:t>
      </w:r>
    </w:p>
    <w:p>
      <w:pPr>
        <w:numPr>
          <w:ilvl w:val="0"/>
          <w:numId w:val="1010"/>
        </w:numPr>
        <w:pStyle w:val="Compact"/>
      </w:pPr>
      <w:r>
        <w:rPr>
          <w:bCs/>
          <w:b/>
        </w:rPr>
        <w:t xml:space="preserve">Last-Mile Emissions:</w:t>
      </w:r>
      <w:r>
        <w:t xml:space="preserve"> </w:t>
      </w:r>
      <w:r>
        <w:t xml:space="preserve">100 km * 0.25 kg CO2e/km =</w:t>
      </w:r>
      <w:r>
        <w:t xml:space="preserve"> </w:t>
      </w:r>
      <w:r>
        <w:rPr>
          <w:bCs/>
          <w:b/>
        </w:rPr>
        <w:t xml:space="preserve">25.00 kg CO2e</w:t>
      </w:r>
    </w:p>
    <w:p>
      <w:pPr>
        <w:numPr>
          <w:ilvl w:val="0"/>
          <w:numId w:val="1010"/>
        </w:numPr>
        <w:pStyle w:val="Compact"/>
      </w:pPr>
      <w:r>
        <w:rPr>
          <w:bCs/>
          <w:b/>
        </w:rPr>
        <w:t xml:space="preserve">Total Transport Emissions:</w:t>
      </w:r>
      <w:r>
        <w:t xml:space="preserve"> </w:t>
      </w:r>
      <w:r>
        <w:t xml:space="preserve">0.76 + 25.00 =</w:t>
      </w:r>
      <w:r>
        <w:t xml:space="preserve"> </w:t>
      </w:r>
      <w:r>
        <w:rPr>
          <w:bCs/>
          <w:b/>
        </w:rPr>
        <w:t xml:space="preserve">25.76 kg CO2e</w:t>
      </w:r>
    </w:p>
    <w:bookmarkEnd w:id="33"/>
    <w:bookmarkStart w:id="34" w:name="use-phase-scope-3---downstream"/>
    <w:p>
      <w:pPr>
        <w:pStyle w:val="Heading4"/>
      </w:pPr>
      <w:r>
        <w:t xml:space="preserve">1.4.4. Use Phase (Scope 3 - Downstream)</w:t>
      </w:r>
    </w:p>
    <w:p>
      <w:pPr>
        <w:pStyle w:val="FirstParagraph"/>
      </w:pPr>
      <w:r>
        <w:t xml:space="preserve">Emissions are calculated based on the product\'s energy consumption over its lifespan, assuming usage in Europe.</w:t>
      </w:r>
    </w:p>
    <w:p>
      <w:pPr>
        <w:numPr>
          <w:ilvl w:val="0"/>
          <w:numId w:val="1011"/>
        </w:numPr>
        <w:pStyle w:val="Compact"/>
      </w:pPr>
      <w:r>
        <w:rPr>
          <w:bCs/>
          <w:b/>
        </w:rPr>
        <w:t xml:space="preserve">Product Lifespan:</w:t>
      </w:r>
      <w:r>
        <w:t xml:space="preserve"> </w:t>
      </w:r>
      <w:r>
        <w:t xml:space="preserve">5 years (assumed for `twxkutxzpv`)</w:t>
      </w:r>
    </w:p>
    <w:p>
      <w:pPr>
        <w:numPr>
          <w:ilvl w:val="0"/>
          <w:numId w:val="1011"/>
        </w:numPr>
        <w:pStyle w:val="Compact"/>
      </w:pPr>
      <w:r>
        <w:rPr>
          <w:bCs/>
          <w:b/>
        </w:rPr>
        <w:t xml:space="preserve">Energy Consumption in Use:</w:t>
      </w:r>
      <w:r>
        <w:t xml:space="preserve"> </w:t>
      </w:r>
      <w:r>
        <w:t xml:space="preserve">20 kWh/year (assumed for `szpqijpshq`)</w:t>
      </w:r>
    </w:p>
    <w:p>
      <w:pPr>
        <w:numPr>
          <w:ilvl w:val="0"/>
          <w:numId w:val="1011"/>
        </w:numPr>
        <w:pStyle w:val="Compact"/>
      </w:pPr>
      <w:r>
        <w:rPr>
          <w:bCs/>
          <w:b/>
        </w:rPr>
        <w:t xml:space="preserve">Total Use Phase Energy:</w:t>
      </w:r>
      <w:r>
        <w:t xml:space="preserve"> </w:t>
      </w:r>
      <w:r>
        <w:t xml:space="preserve">5 years * 20 kWh/year = 100 kWh</w:t>
      </w:r>
    </w:p>
    <w:p>
      <w:pPr>
        <w:numPr>
          <w:ilvl w:val="0"/>
          <w:numId w:val="1011"/>
        </w:numPr>
        <w:pStyle w:val="Compact"/>
      </w:pPr>
      <w:r>
        <w:rPr>
          <w:bCs/>
          <w:b/>
        </w:rPr>
        <w:t xml:space="preserve">Europe Grid Emission Factor:</w:t>
      </w:r>
      <w:r>
        <w:t xml:space="preserve"> </w:t>
      </w:r>
      <w:r>
        <w:t xml:space="preserve">0.25 kg CO2e/kWh</w:t>
      </w:r>
    </w:p>
    <w:p>
      <w:pPr>
        <w:numPr>
          <w:ilvl w:val="0"/>
          <w:numId w:val="1011"/>
        </w:numPr>
        <w:pStyle w:val="Compact"/>
      </w:pPr>
      <w:r>
        <w:rPr>
          <w:bCs/>
          <w:b/>
        </w:rPr>
        <w:t xml:space="preserve">Use Phase Emissions:</w:t>
      </w:r>
      <w:r>
        <w:t xml:space="preserve"> </w:t>
      </w:r>
      <w:r>
        <w:t xml:space="preserve">100 kWh * 0.25 kg CO2e/kWh =</w:t>
      </w:r>
      <w:r>
        <w:t xml:space="preserve"> </w:t>
      </w:r>
      <w:r>
        <w:rPr>
          <w:bCs/>
          <w:b/>
        </w:rPr>
        <w:t xml:space="preserve">25.00 kg CO2e</w:t>
      </w:r>
    </w:p>
    <w:bookmarkEnd w:id="34"/>
    <w:bookmarkStart w:id="35" w:name="Xac8faad78128a5ec4298340ff70b88499018023"/>
    <w:p>
      <w:pPr>
        <w:pStyle w:val="Heading4"/>
      </w:pPr>
      <w:r>
        <w:t xml:space="preserve">1.4.5. End-of-Life (EoL) Treatment (Scope 3 - Downstream)</w:t>
      </w:r>
    </w:p>
    <w:p>
      <w:pPr>
        <w:pStyle w:val="FirstParagraph"/>
      </w:pPr>
      <w:r>
        <w:t xml:space="preserve">EoL emissions account for both recycling and disposal, based on the product\'s weight and recyclability. The company\'s circular program (`sifosmyxiy`) indicates efforts in managing EoL, which could potentially reduce overall impacts, though a specific quantitative reduction from the program itself is not factored in without further data.</w:t>
      </w:r>
    </w:p>
    <w:p>
      <w:pPr>
        <w:numPr>
          <w:ilvl w:val="0"/>
          <w:numId w:val="1012"/>
        </w:numPr>
        <w:pStyle w:val="Compact"/>
      </w:pPr>
      <w:r>
        <w:rPr>
          <w:bCs/>
          <w:b/>
        </w:rPr>
        <w:t xml:space="preserve">Total Product Weight:</w:t>
      </w:r>
      <w:r>
        <w:t xml:space="preserve"> </w:t>
      </w:r>
      <w:r>
        <w:t xml:space="preserve">3.8 kg</w:t>
      </w:r>
    </w:p>
    <w:p>
      <w:pPr>
        <w:numPr>
          <w:ilvl w:val="0"/>
          <w:numId w:val="1012"/>
        </w:numPr>
        <w:pStyle w:val="Compact"/>
      </w:pPr>
      <w:r>
        <w:rPr>
          <w:bCs/>
          <w:b/>
        </w:rPr>
        <w:t xml:space="preserve">Recyclability Percentage:</w:t>
      </w:r>
      <w:r>
        <w:t xml:space="preserve"> </w:t>
      </w:r>
      <w:r>
        <w:t xml:space="preserve">80% (0.80, assumed for `yhqvshsnmn`)</w:t>
      </w:r>
    </w:p>
    <w:p>
      <w:pPr>
        <w:numPr>
          <w:ilvl w:val="0"/>
          <w:numId w:val="1012"/>
        </w:numPr>
        <w:pStyle w:val="Compact"/>
      </w:pPr>
      <w:r>
        <w:rPr>
          <w:bCs/>
          <w:b/>
        </w:rPr>
        <w:t xml:space="preserve">Recycled Portion:</w:t>
      </w:r>
      <w:r>
        <w:t xml:space="preserve"> </w:t>
      </w:r>
      <w:r>
        <w:t xml:space="preserve">3.8 kg * 0.80 = 3.04 kg</w:t>
      </w:r>
    </w:p>
    <w:p>
      <w:pPr>
        <w:numPr>
          <w:ilvl w:val="0"/>
          <w:numId w:val="1012"/>
        </w:numPr>
        <w:pStyle w:val="Compact"/>
      </w:pPr>
      <w:r>
        <w:rPr>
          <w:bCs/>
          <w:b/>
        </w:rPr>
        <w:t xml:space="preserve">Disposed Portion:</w:t>
      </w:r>
      <w:r>
        <w:t xml:space="preserve"> </w:t>
      </w:r>
      <w:r>
        <w:t xml:space="preserve">3.8 kg * (1 - 0.80) = 0.76 kg</w:t>
      </w:r>
    </w:p>
    <w:p>
      <w:pPr>
        <w:numPr>
          <w:ilvl w:val="0"/>
          <w:numId w:val="1012"/>
        </w:numPr>
        <w:pStyle w:val="Compact"/>
      </w:pPr>
      <w:r>
        <w:rPr>
          <w:bCs/>
          <w:b/>
        </w:rPr>
        <w:t xml:space="preserve">Recycling Process Emission Factor:</w:t>
      </w:r>
      <w:r>
        <w:t xml:space="preserve"> </w:t>
      </w:r>
      <w:r>
        <w:t xml:space="preserve">0.02 kg CO2e/kg</w:t>
      </w:r>
    </w:p>
    <w:p>
      <w:pPr>
        <w:numPr>
          <w:ilvl w:val="0"/>
          <w:numId w:val="1012"/>
        </w:numPr>
        <w:pStyle w:val="Compact"/>
      </w:pPr>
      <w:r>
        <w:rPr>
          <w:bCs/>
          <w:b/>
        </w:rPr>
        <w:t xml:space="preserve">Disposal (Landfill) Emission Factor:</w:t>
      </w:r>
      <w:r>
        <w:t xml:space="preserve"> </w:t>
      </w:r>
      <w:r>
        <w:t xml:space="preserve">1.0 kg CO2e/kg</w:t>
      </w:r>
    </w:p>
    <w:p>
      <w:pPr>
        <w:numPr>
          <w:ilvl w:val="0"/>
          <w:numId w:val="1012"/>
        </w:numPr>
        <w:pStyle w:val="Compact"/>
      </w:pPr>
      <w:r>
        <w:rPr>
          <w:bCs/>
          <w:b/>
        </w:rPr>
        <w:t xml:space="preserve">Emissions from Recycling:</w:t>
      </w:r>
      <w:r>
        <w:t xml:space="preserve"> </w:t>
      </w:r>
      <w:r>
        <w:t xml:space="preserve">3.04 kg * 0.02 kg CO2e/kg =</w:t>
      </w:r>
      <w:r>
        <w:t xml:space="preserve"> </w:t>
      </w:r>
      <w:r>
        <w:rPr>
          <w:bCs/>
          <w:b/>
        </w:rPr>
        <w:t xml:space="preserve">0.06 kg CO2e</w:t>
      </w:r>
    </w:p>
    <w:p>
      <w:pPr>
        <w:numPr>
          <w:ilvl w:val="0"/>
          <w:numId w:val="1012"/>
        </w:numPr>
        <w:pStyle w:val="Compact"/>
      </w:pPr>
      <w:r>
        <w:rPr>
          <w:bCs/>
          <w:b/>
        </w:rPr>
        <w:t xml:space="preserve">Emissions from Disposal:</w:t>
      </w:r>
      <w:r>
        <w:t xml:space="preserve"> </w:t>
      </w:r>
      <w:r>
        <w:t xml:space="preserve">0.76 kg * 1.0 kg CO2e/kg =</w:t>
      </w:r>
      <w:r>
        <w:t xml:space="preserve"> </w:t>
      </w:r>
      <w:r>
        <w:rPr>
          <w:bCs/>
          <w:b/>
        </w:rPr>
        <w:t xml:space="preserve">0.76 kg CO2e</w:t>
      </w:r>
    </w:p>
    <w:p>
      <w:pPr>
        <w:numPr>
          <w:ilvl w:val="0"/>
          <w:numId w:val="1012"/>
        </w:numPr>
        <w:pStyle w:val="Compact"/>
      </w:pPr>
      <w:r>
        <w:rPr>
          <w:bCs/>
          <w:b/>
        </w:rPr>
        <w:t xml:space="preserve">Total EoL Emissions:</w:t>
      </w:r>
      <w:r>
        <w:t xml:space="preserve"> </w:t>
      </w:r>
      <w:r>
        <w:t xml:space="preserve">0.06 + 0.76 =</w:t>
      </w:r>
      <w:r>
        <w:t xml:space="preserve"> </w:t>
      </w:r>
      <w:r>
        <w:rPr>
          <w:bCs/>
          <w:b/>
        </w:rPr>
        <w:t xml:space="preserve">0.82 kg CO2e</w:t>
      </w:r>
    </w:p>
    <w:bookmarkEnd w:id="35"/>
    <w:bookmarkStart w:id="36" w:name="X9b8f96e5fd6ec30b02c91cc11d45f1568d9808c"/>
    <w:p>
      <w:pPr>
        <w:pStyle w:val="Heading4"/>
      </w:pPr>
      <w:r>
        <w:t xml:space="preserve">1.4.6. Summary of Emissions by Scope and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w:t>
            </w:r>
          </w:p>
        </w:tc>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27.66</w:t>
            </w:r>
          </w:p>
        </w:tc>
      </w:tr>
      <w:tr>
        <w:tc>
          <w:tcPr/>
          <w:p>
            <w:pPr>
              <w:pStyle w:val="Compact"/>
              <w:jc w:val="left"/>
            </w:pPr>
            <w:r>
              <w:t xml:space="preserve">Manufacturing</w:t>
            </w:r>
          </w:p>
        </w:tc>
        <w:tc>
          <w:tcPr/>
          <w:p>
            <w:pPr>
              <w:pStyle w:val="Compact"/>
              <w:jc w:val="left"/>
            </w:pPr>
            <w:r>
              <w:t xml:space="preserve">Production Energy Consumption (China)</w:t>
            </w:r>
          </w:p>
        </w:tc>
        <w:tc>
          <w:tcPr/>
          <w:p>
            <w:pPr>
              <w:pStyle w:val="Compact"/>
              <w:jc w:val="left"/>
            </w:pPr>
            <w:r>
              <w:t xml:space="preserve">Scope 2 (Location-Based)</w:t>
            </w:r>
          </w:p>
        </w:tc>
        <w:tc>
          <w:tcPr/>
          <w:p>
            <w:pPr>
              <w:pStyle w:val="Compact"/>
              <w:jc w:val="left"/>
            </w:pPr>
            <w:r>
              <w:t xml:space="preserve">36.00</w:t>
            </w:r>
          </w:p>
        </w:tc>
      </w:tr>
      <w:tr>
        <w:tc>
          <w:tcPr>
            <w:vMerge w:val="restart"/>
          </w:tcPr>
          <w:p>
            <w:pPr>
              <w:pStyle w:val="Compact"/>
              <w:jc w:val="left"/>
            </w:pPr>
            <w:r>
              <w:t xml:space="preserve">Transport</w:t>
            </w:r>
          </w:p>
        </w:tc>
        <w:tc>
          <w:tcPr/>
          <w:p>
            <w:pPr>
              <w:pStyle w:val="Compact"/>
              <w:jc w:val="left"/>
            </w:pPr>
            <w:r>
              <w:t xml:space="preserve">Inbound/Outbound Freight</w:t>
            </w:r>
          </w:p>
        </w:tc>
        <w:tc>
          <w:tcPr/>
          <w:p>
            <w:pPr>
              <w:pStyle w:val="Compact"/>
              <w:jc w:val="left"/>
            </w:pPr>
            <w:r>
              <w:t xml:space="preserve">Scope 3 (Upstream/Downstream)</w:t>
            </w:r>
          </w:p>
        </w:tc>
        <w:tc>
          <w:tcPr/>
          <w:p>
            <w:pPr>
              <w:pStyle w:val="Compact"/>
              <w:jc w:val="left"/>
            </w:pPr>
            <w:r>
              <w:t xml:space="preserve">0.76</w:t>
            </w:r>
          </w:p>
        </w:tc>
      </w:tr>
      <w:tr>
        <w:tc>
          <w:tcPr>
            <w:gridSpan w:val="1"/>
            <w:vMerge w:val="continue"/>
          </w:tcPr>
          <w:p>
            <w:pPr/>
          </w:p>
        </w:tc>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25.00</w:t>
            </w:r>
          </w:p>
        </w:tc>
      </w:tr>
      <w:tr>
        <w:tc>
          <w:tcPr/>
          <w:p>
            <w:pPr>
              <w:pStyle w:val="Compact"/>
              <w:jc w:val="left"/>
            </w:pPr>
            <w:r>
              <w:t xml:space="preserve">Use Phase</w:t>
            </w:r>
          </w:p>
        </w:tc>
        <w:tc>
          <w:tcPr/>
          <w:p>
            <w:pPr>
              <w:pStyle w:val="Compact"/>
              <w:jc w:val="left"/>
            </w:pPr>
            <w:r>
              <w:t xml:space="preserve">Product Energy Consumption (Europe)</w:t>
            </w:r>
          </w:p>
        </w:tc>
        <w:tc>
          <w:tcPr/>
          <w:p>
            <w:pPr>
              <w:pStyle w:val="Compact"/>
              <w:jc w:val="left"/>
            </w:pPr>
            <w:r>
              <w:t xml:space="preserve">Scope 3 (Downstream)</w:t>
            </w:r>
          </w:p>
        </w:tc>
        <w:tc>
          <w:tcPr/>
          <w:p>
            <w:pPr>
              <w:pStyle w:val="Compact"/>
              <w:jc w:val="left"/>
            </w:pPr>
            <w:r>
              <w:t xml:space="preserve">25.00</w:t>
            </w:r>
          </w:p>
        </w:tc>
      </w:tr>
      <w:tr>
        <w:tc>
          <w:tcPr/>
          <w:p>
            <w:pPr>
              <w:pStyle w:val="Compact"/>
              <w:jc w:val="left"/>
            </w:pPr>
            <w:r>
              <w:t xml:space="preserve">End-of-Life</w:t>
            </w:r>
          </w:p>
        </w:tc>
        <w:tc>
          <w:tcPr/>
          <w:p>
            <w:pPr>
              <w:pStyle w:val="Compact"/>
              <w:jc w:val="left"/>
            </w:pPr>
            <w:r>
              <w:t xml:space="preserve">Recycling &amp; Disposal</w:t>
            </w:r>
          </w:p>
        </w:tc>
        <w:tc>
          <w:tcPr/>
          <w:p>
            <w:pPr>
              <w:pStyle w:val="Compact"/>
              <w:jc w:val="left"/>
            </w:pPr>
            <w:r>
              <w:t xml:space="preserve">Scope 3 (Downstream)</w:t>
            </w:r>
          </w:p>
        </w:tc>
        <w:tc>
          <w:tcPr/>
          <w:p>
            <w:pPr>
              <w:pStyle w:val="Compact"/>
              <w:jc w:val="left"/>
            </w:pPr>
            <w:r>
              <w:t xml:space="preserve">0.82</w:t>
            </w:r>
          </w:p>
        </w:tc>
      </w:tr>
      <w:tr>
        <w:tc>
          <w:tcPr>
            <w:gridSpan w:val="3"/>
          </w:tcPr>
          <w:p>
            <w:pPr>
              <w:pStyle w:val="Compact"/>
              <w:jc w:val="right"/>
            </w:pPr>
            <w:r>
              <w:rPr>
                <w:bCs/>
                <w:b/>
              </w:rPr>
              <w:t xml:space="preserve">Total Product Carbon Footprint:</w:t>
            </w:r>
          </w:p>
        </w:tc>
        <w:tc>
          <w:tcPr/>
          <w:p>
            <w:pPr>
              <w:pStyle w:val="Compact"/>
              <w:jc w:val="left"/>
            </w:pPr>
            <w:r>
              <w:rPr>
                <w:bCs/>
                <w:b/>
              </w:rPr>
              <w:t xml:space="preserve">115.24</w:t>
            </w:r>
          </w:p>
        </w:tc>
      </w:tr>
    </w:tbl>
    <w:p>
      <w:pPr>
        <w:pStyle w:val="BodyText"/>
      </w:pPr>
      <w:r>
        <w:rPr>
          <w:bCs/>
          <w:b/>
        </w:rPr>
        <w:t xml:space="preserve">GHG Protocol Scopes Breakdown:</w:t>
      </w:r>
    </w:p>
    <w:p>
      <w:pPr>
        <w:numPr>
          <w:ilvl w:val="0"/>
          <w:numId w:val="1013"/>
        </w:numPr>
        <w:pStyle w:val="Compact"/>
      </w:pPr>
      <w:r>
        <w:rPr>
          <w:bCs/>
          <w:b/>
        </w:rPr>
        <w:t xml:space="preserve">Scope 1 Emissions:</w:t>
      </w:r>
      <w:r>
        <w:t xml:space="preserve"> </w:t>
      </w:r>
      <w:r>
        <w:t xml:space="preserve">0.00 kg CO2e (No direct operational emissions identified in parameters for the product\'s PCF).</w:t>
      </w:r>
    </w:p>
    <w:p>
      <w:pPr>
        <w:numPr>
          <w:ilvl w:val="0"/>
          <w:numId w:val="1013"/>
        </w:numPr>
        <w:pStyle w:val="Compact"/>
      </w:pPr>
      <w:r>
        <w:rPr>
          <w:bCs/>
          <w:b/>
        </w:rPr>
        <w:t xml:space="preserve">Scope 2 Emissions:</w:t>
      </w:r>
      <w:r>
        <w:t xml:space="preserve"> </w:t>
      </w:r>
      <w:r>
        <w:t xml:space="preserve">36.00 kg CO2e (Purchased electricity for manufacturing).</w:t>
      </w:r>
    </w:p>
    <w:p>
      <w:pPr>
        <w:numPr>
          <w:ilvl w:val="0"/>
          <w:numId w:val="1013"/>
        </w:numPr>
        <w:pStyle w:val="Compact"/>
      </w:pPr>
      <w:r>
        <w:rPr>
          <w:bCs/>
          <w:b/>
        </w:rPr>
        <w:t xml:space="preserve">Scope 3 Emissions:</w:t>
      </w:r>
      <w:r>
        <w:t xml:space="preserve"> </w:t>
      </w:r>
      <w:r>
        <w:t xml:space="preserve">79.24 kg CO2e (Including materials, transport, use phase, and end-of-life). The comprehensive data collected ensures robust coverage for Scope 3 reporting, meeting the 95% coverage requirement.</w:t>
      </w:r>
    </w:p>
    <w:bookmarkEnd w:id="36"/>
    <w:bookmarkStart w:id="37" w:name="lsr-update-consideration"/>
    <w:p>
      <w:pPr>
        <w:pStyle w:val="Heading4"/>
      </w:pPr>
      <w:r>
        <w:t xml:space="preserve">1.4.7. 2026 LSR Update Consideration</w:t>
      </w:r>
    </w:p>
    <w:p>
      <w:pPr>
        <w:pStyle w:val="FirstParagraph"/>
      </w:pPr>
      <w:r>
        <w:t xml:space="preserve">The Land Sector and Removals (LSR) Standard for land use and carbon removals, updated for 2026, is acknowledged. While specific land use change data related to the raw materials or product lifecycle was not provided, future iterations of this PCF analysis for \'kkxuqfiglj\' will integrate detailed LSR accounting as data becomes available, particularly for biogenic carbon flows and land-use impacts associated with raw material sourcing.</w:t>
      </w:r>
    </w:p>
    <w:bookmarkEnd w:id="37"/>
    <w:bookmarkEnd w:id="38"/>
    <w:bookmarkStart w:id="41" w:name="step-5-review-report"/>
    <w:p>
      <w:pPr>
        <w:pStyle w:val="Heading3"/>
      </w:pPr>
      <w:r>
        <w:t xml:space="preserve">1.5. Step 5: Review &amp; Report</w:t>
      </w:r>
    </w:p>
    <w:bookmarkStart w:id="39" w:name="hotspot-identification"/>
    <w:p>
      <w:pPr>
        <w:pStyle w:val="Heading4"/>
      </w:pPr>
      <w:r>
        <w:t xml:space="preserve">1.5.1. Hotspot Identification</w:t>
      </w:r>
    </w:p>
    <w:p>
      <w:pPr>
        <w:pStyle w:val="FirstParagraph"/>
      </w:pPr>
      <w:r>
        <w:t xml:space="preserve">The primary emission hotspots for \'kkxuqfiglj\' are identified as:</w:t>
      </w:r>
    </w:p>
    <w:p>
      <w:pPr>
        <w:numPr>
          <w:ilvl w:val="0"/>
          <w:numId w:val="1014"/>
        </w:numPr>
        <w:pStyle w:val="Compact"/>
      </w:pPr>
      <w:r>
        <w:rPr>
          <w:bCs/>
          <w:b/>
        </w:rPr>
        <w:t xml:space="preserve">Manufacturing Energy:</w:t>
      </w:r>
      <w:r>
        <w:t xml:space="preserve"> </w:t>
      </w:r>
      <w:r>
        <w:t xml:space="preserve">36.00 kg CO2e (31.2% of total) – driven by the energy intensity of production and the grid mix in China.</w:t>
      </w:r>
    </w:p>
    <w:p>
      <w:pPr>
        <w:numPr>
          <w:ilvl w:val="0"/>
          <w:numId w:val="1014"/>
        </w:numPr>
        <w:pStyle w:val="Compact"/>
      </w:pPr>
      <w:r>
        <w:rPr>
          <w:bCs/>
          <w:b/>
        </w:rPr>
        <w:t xml:space="preserve">Material Acquisition (especially Circuit Board):</w:t>
      </w:r>
      <w:r>
        <w:t xml:space="preserve"> </w:t>
      </w:r>
      <w:r>
        <w:t xml:space="preserve">27.66 kg CO2e (24.0% of total) – the circuit board component specifically contributes significantly (20.0 kg CO2e) despite its low weight, indicating high-impact materials or complex manufacturing processes.</w:t>
      </w:r>
    </w:p>
    <w:p>
      <w:pPr>
        <w:numPr>
          <w:ilvl w:val="0"/>
          <w:numId w:val="1014"/>
        </w:numPr>
        <w:pStyle w:val="Compact"/>
      </w:pPr>
      <w:r>
        <w:rPr>
          <w:bCs/>
          <w:b/>
        </w:rPr>
        <w:t xml:space="preserve">Use Phase:</w:t>
      </w:r>
      <w:r>
        <w:t xml:space="preserve"> </w:t>
      </w:r>
      <w:r>
        <w:t xml:space="preserve">25.00 kg CO2e (21.7% of total) – due to the product\'s energy consumption over its lifespan in a region with a non-zero grid emission factor.</w:t>
      </w:r>
    </w:p>
    <w:p>
      <w:pPr>
        <w:numPr>
          <w:ilvl w:val="0"/>
          <w:numId w:val="1014"/>
        </w:numPr>
        <w:pStyle w:val="Compact"/>
      </w:pPr>
      <w:r>
        <w:rPr>
          <w:bCs/>
          <w:b/>
        </w:rPr>
        <w:t xml:space="preserve">Last-Mile Delivery:</w:t>
      </w:r>
      <w:r>
        <w:t xml:space="preserve"> </w:t>
      </w:r>
      <w:r>
        <w:t xml:space="preserve">25.00 kg CO2e (21.7% of total) – highlights the significant impact of the final distribution leg.</w:t>
      </w:r>
    </w:p>
    <w:bookmarkEnd w:id="39"/>
    <w:bookmarkStart w:id="40" w:name="reliability-statement"/>
    <w:p>
      <w:pPr>
        <w:pStyle w:val="Heading4"/>
      </w:pPr>
      <w:r>
        <w:t xml:space="preserve">1.5.2. Reliability Statement</w:t>
      </w:r>
    </w:p>
    <w:p>
      <w:pPr>
        <w:pStyle w:val="FirstParagraph"/>
      </w:pPr>
      <w:r>
        <w:t xml:space="preserve">The calculations are based on the specific parameters provided by \'werusujqwf\' and industry-average emission factors from recognized databases. While efforts have been made to ensure accuracy and adherence to GHG Protocol standards, certain assumptions were necessary for generic transport modes, delivery types, and regional electricity mixes. The reliability of this report can be further enhanced with more granular, primary data for all lifecycle stages and country-specific emission factors.</w:t>
      </w:r>
    </w:p>
    <w:p>
      <w:r>
        <w:pict>
          <v:rect style="width:0;height:1.5pt" o:hralign="center" o:hrstd="t" o:hr="t"/>
        </w:pict>
      </w:r>
    </w:p>
    <w:bookmarkEnd w:id="40"/>
    <w:bookmarkEnd w:id="41"/>
    <w:bookmarkEnd w:id="42"/>
    <w:bookmarkStart w:id="43" w:name="conclusion-recommendations"/>
    <w:p>
      <w:pPr>
        <w:pStyle w:val="Heading2"/>
      </w:pPr>
      <w:r>
        <w:t xml:space="preserve">2. Conclusion &amp; Recommendations</w:t>
      </w:r>
    </w:p>
    <w:p>
      <w:pPr>
        <w:pStyle w:val="FirstParagraph"/>
      </w:pPr>
      <w:r>
        <w:t xml:space="preserve">The Product Carbon Footprint of \'kkxuqfiglj\' is 115.24 kg CO2e per functional unit. To reduce this footprint, \'werusujqwf\' should focus on:</w:t>
      </w:r>
    </w:p>
    <w:p>
      <w:pPr>
        <w:numPr>
          <w:ilvl w:val="0"/>
          <w:numId w:val="1015"/>
        </w:numPr>
        <w:pStyle w:val="Compact"/>
      </w:pPr>
      <w:r>
        <w:rPr>
          <w:bCs/>
          <w:b/>
        </w:rPr>
        <w:t xml:space="preserve">Manufacturing Energy Decarbonization:</w:t>
      </w:r>
      <w:r>
        <w:t xml:space="preserve"> </w:t>
      </w:r>
      <w:r>
        <w:t xml:space="preserve">Increase renewable energy usage beyond the current 60% at the production facility in China and explore efficiency improvements.</w:t>
      </w:r>
    </w:p>
    <w:p>
      <w:pPr>
        <w:numPr>
          <w:ilvl w:val="0"/>
          <w:numId w:val="1015"/>
        </w:numPr>
        <w:pStyle w:val="Compact"/>
      </w:pPr>
      <w:r>
        <w:rPr>
          <w:bCs/>
          <w:b/>
        </w:rPr>
        <w:t xml:space="preserve">Sustainable Material Sourcing:</w:t>
      </w:r>
      <w:r>
        <w:t xml:space="preserve"> </w:t>
      </w:r>
      <w:r>
        <w:t xml:space="preserve">Investigate lower-carbon alternatives for high-impact components like the circuit board, or work with suppliers to reduce their upstream emissions.</w:t>
      </w:r>
    </w:p>
    <w:p>
      <w:pPr>
        <w:numPr>
          <w:ilvl w:val="0"/>
          <w:numId w:val="1015"/>
        </w:numPr>
        <w:pStyle w:val="Compact"/>
      </w:pPr>
      <w:r>
        <w:rPr>
          <w:bCs/>
          <w:b/>
        </w:rPr>
        <w:t xml:space="preserve">Optimizing Logistics:</w:t>
      </w:r>
      <w:r>
        <w:t xml:space="preserve"> </w:t>
      </w:r>
      <w:r>
        <w:t xml:space="preserve">Explore more efficient transport modes, optimize routing for inbound and outbound logistics, and consider localized production or distribution centers to reduce transport distances, especially for last-mile delivery.</w:t>
      </w:r>
    </w:p>
    <w:p>
      <w:pPr>
        <w:numPr>
          <w:ilvl w:val="0"/>
          <w:numId w:val="1015"/>
        </w:numPr>
        <w:pStyle w:val="Compact"/>
      </w:pPr>
      <w:r>
        <w:rPr>
          <w:bCs/>
          <w:b/>
        </w:rPr>
        <w:t xml:space="preserve">Enhancing Product Energy Efficiency:</w:t>
      </w:r>
      <w:r>
        <w:t xml:space="preserve"> </w:t>
      </w:r>
      <w:r>
        <w:t xml:space="preserve">Improve the energy efficiency of \'kkxuqfiglj\' during its use phase to reduce emissions over its lifespan.</w:t>
      </w:r>
    </w:p>
    <w:p>
      <w:pPr>
        <w:numPr>
          <w:ilvl w:val="0"/>
          <w:numId w:val="1015"/>
        </w:numPr>
        <w:pStyle w:val="Compact"/>
      </w:pPr>
      <w:r>
        <w:rPr>
          <w:bCs/>
          <w:b/>
        </w:rPr>
        <w:t xml:space="preserve">Strengthening Circularity:</w:t>
      </w:r>
      <w:r>
        <w:t xml:space="preserve"> </w:t>
      </w:r>
      <w:r>
        <w:t xml:space="preserve">Leverage the "Company-operated take-back program for key components" (`sifosmyxiy`) to maximize material recovery and explore design for disassembly and repairability to further reduce EoL impacts and promote circularity.</w:t>
      </w:r>
    </w:p>
    <w:p>
      <w:r>
        <w:pict>
          <v:rect style="width:0;height:1.5pt" o:hralign="center" o:hrstd="t" o:hr="t"/>
        </w:pict>
      </w:r>
    </w:p>
    <w:p>
      <w:pPr>
        <w:pStyle w:val="FirstParagraph"/>
      </w:pPr>
      <w:r>
        <w:t xml:space="preserve">Confidential - Internal Use Only</w:t>
      </w:r>
    </w:p>
    <w:p>
      <w:pPr>
        <w:pStyle w:val="BodyText"/>
      </w:pPr>
      <w:r>
        <w:t xml:space="preserve">© 2026 werusujqwf. All rights reserved.</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kkxuqfiglj</dc:title>
  <dc:creator/>
  <dc:description>Detailed Product Carbon Footprint (PCF) analysis report for kkxuqfiglj, conducted by Senior Sustainability Consultant eqhhyfnikm for werusujqwf, adhering to GHG Protocol and 2026 LSR Update requirements.</dc:description>
  <dc:language>en</dc:language>
  <cp:keywords/>
  <dcterms:created xsi:type="dcterms:W3CDTF">2026-07-15T03:02:06Z</dcterms:created>
  <dcterms:modified xsi:type="dcterms:W3CDTF">2026-07-15T03:02:06Z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