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kkqkefwpgo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kkqkefwpgo</w:t>
      </w:r>
    </w:p>
    <w:p>
      <w:pPr>
        <w:pStyle w:val="BodyText"/>
      </w:pPr>
      <w:r>
        <w:rPr>
          <w:bCs/>
          <w:b/>
        </w:rPr>
        <w:t xml:space="preserve">For Company:</w:t>
      </w:r>
      <w:r>
        <w:t xml:space="preserve"> </w:t>
      </w:r>
      <w:r>
        <w:t xml:space="preserve">ugperpwhwn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ijxlzwzwnu</w:t>
      </w:r>
    </w:p>
    <w:p>
      <w:pPr>
        <w:pStyle w:val="BodyText"/>
      </w:pPr>
      <w:r>
        <w:t xml:space="preserve">Disclaimer: This report is generated based on available data and industry standards. While efforts have been made to ensure accuracy and adherence to the GHG Protocol, results are illustrative and subject to the quality and completeness of underlying data.</w:t>
      </w:r>
    </w:p>
    <w:bookmarkEnd w:id="20"/>
    <w:bookmarkStart w:id="21" w:name="X9052e4ae83e132b823286d122e048da764c8a95"/>
    <w:p>
      <w:pPr>
        <w:pStyle w:val="Heading1"/>
      </w:pPr>
      <w:r>
        <w:t xml:space="preserve">Product Carbon Footprint Report for kkqkefwpgo</w:t>
      </w:r>
    </w:p>
    <w:p>
      <w:pPr>
        <w:pStyle w:val="FirstParagraph"/>
      </w:pPr>
      <w:r>
        <w:t xml:space="preserve">Generated Date: June 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kkqkefwpgo</w:t>
      </w:r>
      <w:r>
        <w:t xml:space="preserve">, manufactured by</w:t>
      </w:r>
      <w:r>
        <w:t xml:space="preserve"> </w:t>
      </w:r>
      <w:r>
        <w:rPr>
          <w:bCs/>
          <w:b/>
        </w:rPr>
        <w:t xml:space="preserve">ugperpwhwn</w:t>
      </w:r>
      <w:r>
        <w:t xml:space="preserve">. The analysis was conducted by</w:t>
      </w:r>
      <w:r>
        <w:t xml:space="preserve"> </w:t>
      </w:r>
      <w:r>
        <w:rPr>
          <w:bCs/>
          <w:b/>
        </w:rPr>
        <w:t xml:space="preserve">ijxlzwzwnu</w:t>
      </w:r>
      <w:r>
        <w:t xml:space="preserve">, Senior Sustainability Consultant, strictly adhering to the GHG Protocol accounting standard, including considerations for the 2026 Land Sector and Removals (LSR) update and ensuring at least 95% Scope 3 coverage. The PCF quantifies the total greenhouse gas (GHG) emissions associated with the product throughout its lifecycle, from material acquisition to end-of-life. The total carbon footprint for one functional unit of kkqkefwpgo is calculated to be</w:t>
      </w:r>
      <w:r>
        <w:t xml:space="preserve"> </w:t>
      </w:r>
      <w:r>
        <w:rPr>
          <w:bCs/>
          <w:b/>
        </w:rPr>
        <w:t xml:space="preserve">22.73 kgCO2e</w:t>
      </w:r>
      <w:r>
        <w:t xml:space="preserve">. The use phase is identified as a significant hotspot, followed by upstream material production.</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scope of this Product Carbon Footprint (PCF) analysis for kkqkefwpgo is defined in accordance with the GHG Protocol Product Standard.</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kkqkefwpgo, providing its intended function over its lifespan.</w:t>
      </w:r>
    </w:p>
    <w:p>
      <w:pPr>
        <w:numPr>
          <w:ilvl w:val="0"/>
          <w:numId w:val="1001"/>
        </w:numPr>
        <w:pStyle w:val="Compact"/>
      </w:pPr>
      <w:r>
        <w:rPr>
          <w:bCs/>
          <w:b/>
        </w:rPr>
        <w:t xml:space="preserve">System Boundary:</w:t>
      </w:r>
      <w:r>
        <w:t xml:space="preserve"> </w:t>
      </w:r>
      <w:r>
        <w:t xml:space="preserve">The system boundary for this PCF is \'</w:t>
      </w:r>
      <w:r>
        <w:rPr>
          <w:bCs/>
          <w:b/>
        </w:rPr>
        <w:t xml:space="preserve">factory_gate</w:t>
      </w:r>
      <w:r>
        <w:t xml:space="preserve">\' for direct emissions but expands to \'cradle-to-grave\' for a comprehensive Scope 3 assessment, encompassing raw material extraction, manufacturing, transportation, use, and end-of-life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use phase and potentially some upstream/downstream logistics are tied to Europe).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Scope 2 (purchased energy emissions), and Scope 3 (value chain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production and lifecycle of one unit of kkqkefwpgo. For shared processes (e.g., transportation), emissions are allocated based on tonne-kilometer where applicable.</w:t>
      </w:r>
    </w:p>
    <w:p>
      <w:r>
        <w:pict>
          <v:rect style="width:0;height:1.5pt" o:hralign="center" o:hrstd="t" o:hr="t"/>
        </w:pict>
      </w:r>
    </w:p>
    <w:bookmarkEnd w:id="23"/>
    <w:bookmarkStart w:id="29" w:name="X6e2793ee4fc01441418c201f3b9b8c363590e6c"/>
    <w:p>
      <w:pPr>
        <w:pStyle w:val="Heading2"/>
      </w:pPr>
      <w:r>
        <w:t xml:space="preserve">2. Mapping the Lifecycle (LCI Inventory Stages) &amp; 3. Data Collection</w:t>
      </w:r>
    </w:p>
    <w:p>
      <w:pPr>
        <w:pStyle w:val="FirstParagraph"/>
      </w:pPr>
      <w:r>
        <w:t xml:space="preserve">The lifecycle of kkqkefwpgo encompasses several stages, each contributing to the overall carbon footprint. Primary and secondary data were collected to quantify these contributions.</w:t>
      </w:r>
    </w:p>
    <w:bookmarkStart w:id="24" w:name="X99534d3491f1be0f49b57acaf828e881b6d5c21"/>
    <w:p>
      <w:pPr>
        <w:pStyle w:val="Heading3"/>
      </w:pPr>
      <w:r>
        <w:t xml:space="preserve">2.1. Material Acquisition &amp; Processing (Upstream - Scope 3, Category 1)</w:t>
      </w:r>
    </w:p>
    <w:p>
      <w:pPr>
        <w:pStyle w:val="FirstParagraph"/>
      </w:pPr>
      <w:r>
        <w:t xml:space="preserve">The Detailed Bill of Materials (BOM) for kkqkefwpgo, provided as</w:t>
      </w:r>
      <w:r>
        <w:t xml:space="preserve"> </w:t>
      </w:r>
      <w:r>
        <w:rPr>
          <w:bCs/>
          <w:b/>
        </w:rPr>
        <w:t xml:space="preserve">nviljfox</w:t>
      </w:r>
      <w:r>
        <w:t xml:space="preserve">, serves as the primary data source for material inputs. The carbon emissions for each component were provided directly within the BOM.</w:t>
      </w:r>
    </w:p>
    <w:p>
      <w:pPr>
        <w:pStyle w:val="BodyText"/>
      </w:pPr>
      <w:r>
        <w:rPr>
          <w:bCs/>
          <w:b/>
        </w:rP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Component_A</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Component_B</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Component_C</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Component_D</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Component_E</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t xml:space="preserve">Total Material Acquisition Emissions:</w:t>
            </w:r>
          </w:p>
        </w:tc>
        <w:tc>
          <w:tcPr/>
          <w:p>
            <w:pPr>
              <w:pStyle w:val="Compact"/>
              <w:jc w:val="left"/>
            </w:pPr>
            <w:r>
              <w:t xml:space="preserve">4.35 kgCO2e</w:t>
            </w:r>
          </w:p>
        </w:tc>
      </w:tr>
    </w:tbl>
    <w:bookmarkEnd w:id="24"/>
    <w:bookmarkStart w:id="25" w:name="X0dec78852506db20d164889398f539c42e2aa9b"/>
    <w:p>
      <w:pPr>
        <w:pStyle w:val="Heading3"/>
      </w:pPr>
      <w:r>
        <w:t xml:space="preserve">2.2. Production Energy Inputs (Scope 2 &amp; Scope 3, Category 3)</w:t>
      </w:r>
    </w:p>
    <w:p>
      <w:pPr>
        <w:pStyle w:val="FirstParagraph"/>
      </w:pPr>
      <w:r>
        <w:t xml:space="preserve">Energy consumption during the production phase is a critical input.</w:t>
      </w:r>
    </w:p>
    <w:p>
      <w:pPr>
        <w:numPr>
          <w:ilvl w:val="0"/>
          <w:numId w:val="1003"/>
        </w:numPr>
        <w:pStyle w:val="Compact"/>
      </w:pPr>
      <w:r>
        <w:rPr>
          <w:bCs/>
          <w:b/>
        </w:rPr>
        <w:t xml:space="preserve">Energy Intensity (kWh/unit):</w:t>
      </w:r>
      <w:r>
        <w:t xml:space="preserve"> </w:t>
      </w:r>
      <w:r>
        <w:rPr>
          <w:bCs/>
          <w:b/>
        </w:rPr>
        <w:t xml:space="preserve">ngyswrgzgj</w:t>
      </w:r>
      <w:r>
        <w:t xml:space="preserve"> </w:t>
      </w:r>
      <w:r>
        <w:t xml:space="preserve">(12 kWh/unit)</w:t>
      </w:r>
    </w:p>
    <w:p>
      <w:pPr>
        <w:numPr>
          <w:ilvl w:val="0"/>
          <w:numId w:val="1003"/>
        </w:numPr>
        <w:pStyle w:val="Compact"/>
      </w:pPr>
      <w:r>
        <w:rPr>
          <w:bCs/>
          <w:b/>
        </w:rPr>
        <w:t xml:space="preserve">Renewable Energy Usage:</w:t>
      </w:r>
      <w:r>
        <w:t xml:space="preserve"> </w:t>
      </w:r>
      <w:r>
        <w:rPr>
          <w:bCs/>
          <w:b/>
        </w:rPr>
        <w:t xml:space="preserve">omvfizyqdw</w:t>
      </w:r>
      <w:r>
        <w:t xml:space="preserve"> </w:t>
      </w:r>
      <w:r>
        <w:t xml:space="preserve">(30%)</w:t>
      </w:r>
    </w:p>
    <w:p>
      <w:pPr>
        <w:numPr>
          <w:ilvl w:val="0"/>
          <w:numId w:val="1003"/>
        </w:numPr>
        <w:pStyle w:val="Compact"/>
      </w:pPr>
      <w:r>
        <w:rPr>
          <w:bCs/>
          <w:b/>
        </w:rPr>
        <w:t xml:space="preserve">Non-renewable Electricity Share:</w:t>
      </w:r>
      <w:r>
        <w:t xml:space="preserve"> </w:t>
      </w:r>
      <w:r>
        <w:t xml:space="preserve">70% (12 kWh * 0.70 = 8.4 kWh/unit)</w:t>
      </w:r>
    </w:p>
    <w:p>
      <w:pPr>
        <w:numPr>
          <w:ilvl w:val="0"/>
          <w:numId w:val="1003"/>
        </w:numPr>
        <w:pStyle w:val="Compact"/>
      </w:pPr>
      <w:r>
        <w:rPr>
          <w:bCs/>
          <w:b/>
        </w:rPr>
        <w:t xml:space="preserve">Renewable Electricity Share:</w:t>
      </w:r>
      <w:r>
        <w:t xml:space="preserve"> </w:t>
      </w:r>
      <w:r>
        <w:t xml:space="preserve">30% (12 kWh * 0.30 = 3.6 kWh/unit)</w:t>
      </w:r>
    </w:p>
    <w:p>
      <w:pPr>
        <w:numPr>
          <w:ilvl w:val="0"/>
          <w:numId w:val="1003"/>
        </w:numPr>
        <w:pStyle w:val="Compact"/>
      </w:pPr>
      <w:r>
        <w:rPr>
          <w:bCs/>
          <w:b/>
        </w:rPr>
        <w:t xml:space="preserve">Grid Electricity Emission Factor (China):</w:t>
      </w:r>
      <w:r>
        <w:t xml:space="preserve"> </w:t>
      </w:r>
      <w:r>
        <w:t xml:space="preserve">0.58 kgCO2e/kWh (Illustrative, based on average 2021 IEA/MEE data for China).</w:t>
      </w:r>
    </w:p>
    <w:bookmarkEnd w:id="25"/>
    <w:bookmarkStart w:id="26" w:name="Xd64c987d4463689a27b7a1e285f430fee8d470e"/>
    <w:p>
      <w:pPr>
        <w:pStyle w:val="Heading3"/>
      </w:pPr>
      <w:r>
        <w:t xml:space="preserve">2.3. Transportation and Distribution (Scope 3, Category 4 &amp; 9)</w:t>
      </w:r>
    </w:p>
    <w:p>
      <w:pPr>
        <w:pStyle w:val="FirstParagraph"/>
      </w:pPr>
      <w:r>
        <w:t xml:space="preserve">Logistics data plays a significant role in the supply chain analysis.</w:t>
      </w:r>
    </w:p>
    <w:p>
      <w:pPr>
        <w:numPr>
          <w:ilvl w:val="0"/>
          <w:numId w:val="1004"/>
        </w:numPr>
        <w:pStyle w:val="Compact"/>
      </w:pPr>
      <w:r>
        <w:rPr>
          <w:bCs/>
          <w:b/>
        </w:rPr>
        <w:t xml:space="preserve">Transport Mode:</w:t>
      </w:r>
      <w:r>
        <w:t xml:space="preserve"> </w:t>
      </w:r>
      <w:r>
        <w:rPr>
          <w:bCs/>
          <w:b/>
        </w:rPr>
        <w:t xml:space="preserve">Select Mode</w:t>
      </w:r>
      <w:r>
        <w:t xml:space="preserve"> </w:t>
      </w:r>
      <w:r>
        <w:t xml:space="preserve">(Ocean Freight for main transport, Road Freight for factory-to-port and last-mile)</w:t>
      </w:r>
    </w:p>
    <w:p>
      <w:pPr>
        <w:numPr>
          <w:ilvl w:val="0"/>
          <w:numId w:val="1004"/>
        </w:numPr>
        <w:pStyle w:val="Compact"/>
      </w:pPr>
      <w:r>
        <w:rPr>
          <w:bCs/>
          <w:b/>
        </w:rPr>
        <w:t xml:space="preserve">Transport Distance (xlipxvftwr):</w:t>
      </w:r>
    </w:p>
    <w:p>
      <w:pPr>
        <w:numPr>
          <w:ilvl w:val="1"/>
          <w:numId w:val="1005"/>
        </w:numPr>
        <w:pStyle w:val="Compact"/>
      </w:pPr>
      <w:r>
        <w:t xml:space="preserve">Road (Factory to Port): 200 km</w:t>
      </w:r>
    </w:p>
    <w:p>
      <w:pPr>
        <w:numPr>
          <w:ilvl w:val="1"/>
          <w:numId w:val="1005"/>
        </w:numPr>
        <w:pStyle w:val="Compact"/>
      </w:pPr>
      <w:r>
        <w:t xml:space="preserve">Ocean (Main Route): 15,000 km</w:t>
      </w:r>
    </w:p>
    <w:p>
      <w:pPr>
        <w:numPr>
          <w:ilvl w:val="1"/>
          <w:numId w:val="1005"/>
        </w:numPr>
        <w:pStyle w:val="Compact"/>
      </w:pPr>
      <w:r>
        <w:t xml:space="preserve">Road (Port to Customer): 800 km</w:t>
      </w:r>
    </w:p>
    <w:p>
      <w:pPr>
        <w:numPr>
          <w:ilvl w:val="0"/>
          <w:numId w:val="1004"/>
        </w:numPr>
        <w:pStyle w:val="Compact"/>
      </w:pPr>
      <w:r>
        <w:rPr>
          <w:bCs/>
          <w:b/>
        </w:rPr>
        <w:t xml:space="preserve">Last-Mile Delivery Channel (Delivery Type):</w:t>
      </w:r>
      <w:r>
        <w:t xml:space="preserve"> </w:t>
      </w:r>
      <w:r>
        <w:t xml:space="preserve">Light Commercial Vehicle (LCV)</w:t>
      </w:r>
    </w:p>
    <w:p>
      <w:pPr>
        <w:numPr>
          <w:ilvl w:val="0"/>
          <w:numId w:val="1004"/>
        </w:numPr>
        <w:pStyle w:val="Compact"/>
      </w:pPr>
      <w:r>
        <w:rPr>
          <w:bCs/>
          <w:b/>
        </w:rPr>
        <w:t xml:space="preserve">Assumed Product Weight for Transport:</w:t>
      </w:r>
      <w:r>
        <w:t xml:space="preserve"> </w:t>
      </w:r>
      <w:r>
        <w:t xml:space="preserve">1 kg per functional unit.</w:t>
      </w:r>
    </w:p>
    <w:p>
      <w:pPr>
        <w:pStyle w:val="FirstParagraph"/>
      </w:pPr>
      <w:r>
        <w:rPr>
          <w:bCs/>
          <w:b/>
        </w:rPr>
        <w:t xml:space="preserve">Illustrative Emission Factors for Transport:</w:t>
      </w:r>
    </w:p>
    <w:p>
      <w:pPr>
        <w:numPr>
          <w:ilvl w:val="0"/>
          <w:numId w:val="1006"/>
        </w:numPr>
        <w:pStyle w:val="Compact"/>
      </w:pPr>
      <w:r>
        <w:t xml:space="preserve">Road Freight (Heavy Duty Truck): 0.1 kgCO2e/tkm</w:t>
      </w:r>
    </w:p>
    <w:p>
      <w:pPr>
        <w:numPr>
          <w:ilvl w:val="0"/>
          <w:numId w:val="1006"/>
        </w:numPr>
        <w:pStyle w:val="Compact"/>
      </w:pPr>
      <w:r>
        <w:t xml:space="preserve">Ocean Freight (Container Ship): 0.016 kgCO2e/tkm</w:t>
      </w:r>
    </w:p>
    <w:p>
      <w:pPr>
        <w:numPr>
          <w:ilvl w:val="0"/>
          <w:numId w:val="1006"/>
        </w:numPr>
        <w:pStyle w:val="Compact"/>
      </w:pPr>
      <w:r>
        <w:t xml:space="preserve">Light Commercial Vehicle (LCV): 0.2 kgCO2e/tkm (illustrative, for last-mile freight)</w:t>
      </w:r>
    </w:p>
    <w:bookmarkEnd w:id="26"/>
    <w:bookmarkStart w:id="27" w:name="X01fffecb4d51cf9638741502492363d57dc681a"/>
    <w:p>
      <w:pPr>
        <w:pStyle w:val="Heading3"/>
      </w:pPr>
      <w:r>
        <w:t xml:space="preserve">2.4. Use Phase (Downstream - Scope 3, Category 11)</w:t>
      </w:r>
    </w:p>
    <w:p>
      <w:pPr>
        <w:pStyle w:val="FirstParagraph"/>
      </w:pPr>
      <w:r>
        <w:t xml:space="preserve">The energy consumption during the product\'s use is a key factor.</w:t>
      </w:r>
    </w:p>
    <w:p>
      <w:pPr>
        <w:numPr>
          <w:ilvl w:val="0"/>
          <w:numId w:val="1007"/>
        </w:numPr>
        <w:pStyle w:val="Compact"/>
      </w:pPr>
      <w:r>
        <w:rPr>
          <w:bCs/>
          <w:b/>
        </w:rPr>
        <w:t xml:space="preserve">Product Lifespan (huifimqzxm):</w:t>
      </w:r>
      <w:r>
        <w:t xml:space="preserve"> </w:t>
      </w:r>
      <w:r>
        <w:t xml:space="preserve">7 years</w:t>
      </w:r>
    </w:p>
    <w:p>
      <w:pPr>
        <w:numPr>
          <w:ilvl w:val="0"/>
          <w:numId w:val="1007"/>
        </w:numPr>
        <w:pStyle w:val="Compact"/>
      </w:pPr>
      <w:r>
        <w:rPr>
          <w:bCs/>
          <w:b/>
        </w:rPr>
        <w:t xml:space="preserve">Energy Consumption in Use (jerjmxxmoi):</w:t>
      </w:r>
      <w:r>
        <w:t xml:space="preserve"> </w:t>
      </w:r>
      <w:r>
        <w:t xml:space="preserve">10 kWh/year</w:t>
      </w:r>
    </w:p>
    <w:p>
      <w:pPr>
        <w:numPr>
          <w:ilvl w:val="0"/>
          <w:numId w:val="1007"/>
        </w:numPr>
        <w:pStyle w:val="Compact"/>
      </w:pPr>
      <w:r>
        <w:rPr>
          <w:bCs/>
          <w:b/>
        </w:rPr>
        <w:t xml:space="preserve">Grid Electricity Emission Factor (Europe):</w:t>
      </w:r>
      <w:r>
        <w:t xml:space="preserve"> </w:t>
      </w:r>
      <w:r>
        <w:t xml:space="preserve">0.20 kgCO2e/kWh (Illustrative, based on recent EU-27 average data, reflecting Europe-focused supply chain)</w:t>
      </w:r>
    </w:p>
    <w:bookmarkEnd w:id="27"/>
    <w:bookmarkStart w:id="28" w:name="X9c0ae82b25d76f37a2834bd60185fdb72258056"/>
    <w:p>
      <w:pPr>
        <w:pStyle w:val="Heading3"/>
      </w:pPr>
      <w:r>
        <w:t xml:space="preserve">2.5. End-of-Life (EoL) Treatment (Downstream - Scope 3, Category 12)</w:t>
      </w:r>
    </w:p>
    <w:p>
      <w:pPr>
        <w:pStyle w:val="FirstParagraph"/>
      </w:pPr>
      <w:r>
        <w:t xml:space="preserve">End-of-life scenarios account for potential emissions or savings.</w:t>
      </w:r>
    </w:p>
    <w:p>
      <w:pPr>
        <w:numPr>
          <w:ilvl w:val="0"/>
          <w:numId w:val="1008"/>
        </w:numPr>
        <w:pStyle w:val="Compact"/>
      </w:pPr>
      <w:r>
        <w:rPr>
          <w:bCs/>
          <w:b/>
        </w:rPr>
        <w:t xml:space="preserve">Recyclability Percentage (slzfuzufid):</w:t>
      </w:r>
      <w:r>
        <w:t xml:space="preserve"> </w:t>
      </w:r>
      <w:r>
        <w:t xml:space="preserve">65%</w:t>
      </w:r>
    </w:p>
    <w:p>
      <w:pPr>
        <w:numPr>
          <w:ilvl w:val="0"/>
          <w:numId w:val="1008"/>
        </w:numPr>
        <w:pStyle w:val="Compact"/>
      </w:pPr>
      <w:r>
        <w:rPr>
          <w:bCs/>
          <w:b/>
        </w:rPr>
        <w:t xml:space="preserve">Circular/Take-back Programs (xkefnhlqdk):</w:t>
      </w:r>
      <w:r>
        <w:t xml:space="preserve"> </w:t>
      </w:r>
      <w:r>
        <w:t xml:space="preserve">"Company offers a take-back program for product components at end-of-life, aiming for material recovery and refurbishment."</w:t>
      </w:r>
    </w:p>
    <w:p>
      <w:pPr>
        <w:numPr>
          <w:ilvl w:val="0"/>
          <w:numId w:val="1008"/>
        </w:numPr>
        <w:pStyle w:val="Compact"/>
      </w:pPr>
      <w:r>
        <w:rPr>
          <w:bCs/>
          <w:b/>
        </w:rPr>
        <w:t xml:space="preserve">Total Product Mass for EoL:</w:t>
      </w:r>
      <w:r>
        <w:t xml:space="preserve"> </w:t>
      </w:r>
      <w:r>
        <w:t xml:space="preserve">0.95 kg (sum of BOM component quantities)</w:t>
      </w:r>
    </w:p>
    <w:p>
      <w:pPr>
        <w:pStyle w:val="FirstParagraph"/>
      </w:pPr>
      <w:r>
        <w:rPr>
          <w:bCs/>
          <w:b/>
        </w:rPr>
        <w:t xml:space="preserve">Illustrative Emission Factors for EoL:</w:t>
      </w:r>
    </w:p>
    <w:p>
      <w:pPr>
        <w:numPr>
          <w:ilvl w:val="0"/>
          <w:numId w:val="1009"/>
        </w:numPr>
        <w:pStyle w:val="Compact"/>
      </w:pPr>
      <w:r>
        <w:t xml:space="preserve">Recycling Credit (avoided virgin material production): -1.5 kgCO2e/kg (illustrative, representing a net saving)</w:t>
      </w:r>
    </w:p>
    <w:p>
      <w:pPr>
        <w:numPr>
          <w:ilvl w:val="0"/>
          <w:numId w:val="1009"/>
        </w:numPr>
        <w:pStyle w:val="Compact"/>
      </w:pPr>
      <w:r>
        <w:t xml:space="preserve">Landfill Emissions: 0.05 kgCO2e/kg (illustrative for non-recycled waste)</w:t>
      </w:r>
    </w:p>
    <w:p>
      <w:r>
        <w:pict>
          <v:rect style="width:0;height:1.5pt" o:hralign="center" o:hrstd="t" o:hr="t"/>
        </w:pict>
      </w:r>
    </w:p>
    <w:bookmarkEnd w:id="28"/>
    <w:bookmarkEnd w:id="29"/>
    <w:bookmarkStart w:id="37" w:name="X84905863ad58caa81b83ef66a0ea955e601672a"/>
    <w:p>
      <w:pPr>
        <w:pStyle w:val="Heading2"/>
      </w:pPr>
      <w:r>
        <w:t xml:space="preserve">4. Emission Calculations (Activity * Emission Factor = CO2e)</w:t>
      </w:r>
    </w:p>
    <w:p>
      <w:pPr>
        <w:pStyle w:val="FirstParagraph"/>
      </w:pPr>
      <w:r>
        <w:t xml:space="preserve">The greenhouse gas emissions are calculated for each stage of the product lifecycle, adhering to the GHG Protocol\'s categorization.</w:t>
      </w:r>
    </w:p>
    <w:bookmarkStart w:id="30" w:name="scope-1-emissions-direct-emissions"/>
    <w:p>
      <w:pPr>
        <w:pStyle w:val="Heading3"/>
      </w:pPr>
      <w:r>
        <w:t xml:space="preserve">4.1. Scope 1 Emissions (Direct Emissions)</w:t>
      </w:r>
    </w:p>
    <w:p>
      <w:pPr>
        <w:pStyle w:val="FirstParagraph"/>
      </w:pPr>
      <w:r>
        <w:t xml:space="preserve">Direct emissions from sources owned or controlled by ugperpwhwn (e.g., fuel combustion in owned vehicles or facilities) are assumed to be negligible or outside the defined \'factory_gate\' boundary for product-level direct operational emissions not linked to electricity. For this product PCF, specific direct operational emissions data was not provided for the manufacturing process itself, beyond purchased electricity.</w:t>
      </w:r>
    </w:p>
    <w:p>
      <w:pPr>
        <w:numPr>
          <w:ilvl w:val="0"/>
          <w:numId w:val="1010"/>
        </w:numPr>
        <w:pStyle w:val="Compact"/>
      </w:pPr>
      <w:r>
        <w:rPr>
          <w:bCs/>
          <w:b/>
        </w:rPr>
        <w:t xml:space="preserve">Total Scope 1 Emissions:</w:t>
      </w:r>
      <w:r>
        <w:t xml:space="preserve"> </w:t>
      </w:r>
      <w:r>
        <w:t xml:space="preserve">0.00 kgCO2e (Assumed to be negligible or covered by Scope 2/3 for this specific product analysis).</w:t>
      </w:r>
    </w:p>
    <w:bookmarkEnd w:id="30"/>
    <w:bookmarkStart w:id="31" w:name="Xea3a0be011cd6660e8b4fde47b2db6c687f0551"/>
    <w:p>
      <w:pPr>
        <w:pStyle w:val="Heading3"/>
      </w:pPr>
      <w:r>
        <w:t xml:space="preserve">4.2. Scope 2 Emissions (Purchased Energy Emissions)</w:t>
      </w:r>
    </w:p>
    <w:p>
      <w:pPr>
        <w:pStyle w:val="FirstParagraph"/>
      </w:pPr>
      <w:r>
        <w:t xml:space="preserve">These emissions arise from the generation of purchased electricity for the production of kkqkefwpgo. We use a market-based approach for renewable energy.</w:t>
      </w:r>
    </w:p>
    <w:p>
      <w:pPr>
        <w:numPr>
          <w:ilvl w:val="0"/>
          <w:numId w:val="1011"/>
        </w:numPr>
        <w:pStyle w:val="Compact"/>
      </w:pPr>
      <w:r>
        <w:t xml:space="preserve">Energy Intensity: 12 kWh/unit</w:t>
      </w:r>
    </w:p>
    <w:p>
      <w:pPr>
        <w:numPr>
          <w:ilvl w:val="0"/>
          <w:numId w:val="1011"/>
        </w:numPr>
        <w:pStyle w:val="Compact"/>
      </w:pPr>
      <w:r>
        <w:t xml:space="preserve">Non-renewable electricity: 12 kWh/unit * (1 - 0.30) = 8.4 kWh/unit</w:t>
      </w:r>
    </w:p>
    <w:p>
      <w:pPr>
        <w:numPr>
          <w:ilvl w:val="0"/>
          <w:numId w:val="1011"/>
        </w:numPr>
        <w:pStyle w:val="Compact"/>
      </w:pPr>
      <w:r>
        <w:t xml:space="preserve">China Grid Electricity Factor: 0.58 kgCO2e/kWh</w:t>
      </w:r>
    </w:p>
    <w:p>
      <w:pPr>
        <w:numPr>
          <w:ilvl w:val="0"/>
          <w:numId w:val="1011"/>
        </w:numPr>
        <w:pStyle w:val="Compact"/>
      </w:pPr>
      <w:r>
        <w:t xml:space="preserve">Emissions = 8.4 kWh/unit * 0.58 kgCO2e/kWh = 4.872 kgCO2e</w:t>
      </w:r>
    </w:p>
    <w:p>
      <w:pPr>
        <w:numPr>
          <w:ilvl w:val="0"/>
          <w:numId w:val="1011"/>
        </w:numPr>
        <w:pStyle w:val="Compact"/>
      </w:pPr>
      <w:r>
        <w:rPr>
          <w:bCs/>
          <w:b/>
        </w:rPr>
        <w:t xml:space="preserve">Total Scope 2 Emissions:</w:t>
      </w:r>
      <w:r>
        <w:t xml:space="preserve"> </w:t>
      </w:r>
      <w:r>
        <w:t xml:space="preserve">4.87 kgCO2e</w:t>
      </w:r>
    </w:p>
    <w:bookmarkEnd w:id="31"/>
    <w:bookmarkStart w:id="35" w:name="scope-3-emissions-value-chain-emissions"/>
    <w:p>
      <w:pPr>
        <w:pStyle w:val="Heading3"/>
      </w:pPr>
      <w:r>
        <w:t xml:space="preserve">4.3. Scope 3 Emissions (Value Chain Emissions)</w:t>
      </w:r>
    </w:p>
    <w:p>
      <w:pPr>
        <w:pStyle w:val="FirstParagraph"/>
      </w:pPr>
      <w:r>
        <w:t xml:space="preserve">Scope 3 emissions cover all other indirect emissions from the value chain, upstream and downstream. This analysis ensures at least 95% coverage for Scope 3 reporting as per 2026 requirements.</w:t>
      </w:r>
    </w:p>
    <w:bookmarkStart w:id="32" w:name="upstream-emissions"/>
    <w:p>
      <w:pPr>
        <w:pStyle w:val="Heading4"/>
      </w:pPr>
      <w:r>
        <w:t xml:space="preserve">4.3.1. Upstream Emissions</w:t>
      </w:r>
    </w:p>
    <w:p>
      <w:pPr>
        <w:numPr>
          <w:ilvl w:val="0"/>
          <w:numId w:val="1012"/>
        </w:numPr>
        <w:pStyle w:val="Compact"/>
      </w:pPr>
      <w:r>
        <w:rPr>
          <w:bCs/>
          <w:b/>
        </w:rPr>
        <w:t xml:space="preserve">Materials (Category 1 - Purchased Goods and Services):</w:t>
      </w:r>
    </w:p>
    <w:p>
      <w:pPr>
        <w:numPr>
          <w:ilvl w:val="1"/>
          <w:numId w:val="1013"/>
        </w:numPr>
        <w:pStyle w:val="Compact"/>
      </w:pPr>
      <w:r>
        <w:t xml:space="preserve">Total Material Acquisition Emissions (from BOM): 4.35 kgCO2e</w:t>
      </w:r>
    </w:p>
    <w:p>
      <w:pPr>
        <w:numPr>
          <w:ilvl w:val="1"/>
          <w:numId w:val="1013"/>
        </w:numPr>
        <w:pStyle w:val="Compact"/>
      </w:pPr>
      <w:r>
        <w:t xml:space="preserve">This includes emissions from the extraction, production, and pre-processing of raw materials.</w:t>
      </w:r>
    </w:p>
    <w:p>
      <w:pPr>
        <w:numPr>
          <w:ilvl w:val="0"/>
          <w:numId w:val="1012"/>
        </w:numPr>
        <w:pStyle w:val="Compact"/>
      </w:pPr>
      <w:r>
        <w:rPr>
          <w:bCs/>
          <w:b/>
        </w:rPr>
        <w:t xml:space="preserve">Upstream Transport (Category 4 - Upstream Transportation and Distribution):</w:t>
      </w:r>
    </w:p>
    <w:p>
      <w:pPr>
        <w:numPr>
          <w:ilvl w:val="1"/>
          <w:numId w:val="1014"/>
        </w:numPr>
        <w:pStyle w:val="Compact"/>
      </w:pPr>
      <w:r>
        <w:t xml:space="preserve">Product Weight: 1 kg (0.001 tonne)</w:t>
      </w:r>
    </w:p>
    <w:p>
      <w:pPr>
        <w:numPr>
          <w:ilvl w:val="1"/>
          <w:numId w:val="1014"/>
        </w:numPr>
        <w:pStyle w:val="Compact"/>
      </w:pPr>
      <w:r>
        <w:t xml:space="preserve">Road (Factory to Port): 200 km * 0.001 tonne * 0.1 kgCO2e/tkm = 0.02 kgCO2e</w:t>
      </w:r>
    </w:p>
    <w:p>
      <w:pPr>
        <w:numPr>
          <w:ilvl w:val="1"/>
          <w:numId w:val="1014"/>
        </w:numPr>
        <w:pStyle w:val="Compact"/>
      </w:pPr>
      <w:r>
        <w:t xml:space="preserve">Ocean (Main Route): 15,000 km * 0.001 tonne * 0.016 kgCO2e/tkm = 0.24 kgCO2e</w:t>
      </w:r>
    </w:p>
    <w:p>
      <w:pPr>
        <w:numPr>
          <w:ilvl w:val="1"/>
          <w:numId w:val="1014"/>
        </w:numPr>
        <w:pStyle w:val="Compact"/>
      </w:pPr>
      <w:r>
        <w:t xml:space="preserve">Total Upstream Transport Emissions: 0.02 + 0.24 = 0.26 kgCO2e</w:t>
      </w:r>
    </w:p>
    <w:p>
      <w:pPr>
        <w:numPr>
          <w:ilvl w:val="0"/>
          <w:numId w:val="1012"/>
        </w:numPr>
        <w:pStyle w:val="Compact"/>
      </w:pPr>
      <w:r>
        <w:rPr>
          <w:bCs/>
          <w:b/>
        </w:rPr>
        <w:t xml:space="preserve">Total Upstream Scope 3 Emissions:</w:t>
      </w:r>
      <w:r>
        <w:t xml:space="preserve"> </w:t>
      </w:r>
      <w:r>
        <w:t xml:space="preserve">4.35 + 0.26 = 4.61 kgCO2e</w:t>
      </w:r>
    </w:p>
    <w:bookmarkEnd w:id="32"/>
    <w:bookmarkStart w:id="33" w:name="downstream-emissions"/>
    <w:p>
      <w:pPr>
        <w:pStyle w:val="Heading4"/>
      </w:pPr>
      <w:r>
        <w:t xml:space="preserve">4.3.2. Downstream Emissions</w:t>
      </w:r>
    </w:p>
    <w:p>
      <w:pPr>
        <w:numPr>
          <w:ilvl w:val="0"/>
          <w:numId w:val="1015"/>
        </w:numPr>
        <w:pStyle w:val="Compact"/>
      </w:pPr>
      <w:r>
        <w:rPr>
          <w:bCs/>
          <w:b/>
        </w:rPr>
        <w:t xml:space="preserve">Downstream Transport (Category 9 - Downstream Transportation and Distribution):</w:t>
      </w:r>
    </w:p>
    <w:p>
      <w:pPr>
        <w:numPr>
          <w:ilvl w:val="1"/>
          <w:numId w:val="1016"/>
        </w:numPr>
        <w:pStyle w:val="Compact"/>
      </w:pPr>
      <w:r>
        <w:t xml:space="preserve">Product Weight: 1 kg (0.001 tonne)</w:t>
      </w:r>
    </w:p>
    <w:p>
      <w:pPr>
        <w:numPr>
          <w:ilvl w:val="1"/>
          <w:numId w:val="1016"/>
        </w:numPr>
        <w:pStyle w:val="Compact"/>
      </w:pPr>
      <w:r>
        <w:t xml:space="preserve">Road (Port to Customer - Last-Mile): 800 km * 0.001 tonne * 0.2 kgCO2e/tkm = 0.16 kgCO2e</w:t>
      </w:r>
    </w:p>
    <w:p>
      <w:pPr>
        <w:numPr>
          <w:ilvl w:val="1"/>
          <w:numId w:val="1016"/>
        </w:numPr>
        <w:pStyle w:val="Compact"/>
      </w:pPr>
      <w:r>
        <w:t xml:space="preserve">Total Downstream Transport Emissions: 0.16 kgCO2e</w:t>
      </w:r>
    </w:p>
    <w:p>
      <w:pPr>
        <w:numPr>
          <w:ilvl w:val="0"/>
          <w:numId w:val="1015"/>
        </w:numPr>
        <w:pStyle w:val="Compact"/>
      </w:pPr>
      <w:r>
        <w:rPr>
          <w:bCs/>
          <w:b/>
        </w:rPr>
        <w:t xml:space="preserve">Use Phase (Category 11 - Use of Sold Products):</w:t>
      </w:r>
    </w:p>
    <w:p>
      <w:pPr>
        <w:numPr>
          <w:ilvl w:val="1"/>
          <w:numId w:val="1017"/>
        </w:numPr>
        <w:pStyle w:val="Compact"/>
      </w:pPr>
      <w:r>
        <w:t xml:space="preserve">Product Lifespan: 7 years</w:t>
      </w:r>
    </w:p>
    <w:p>
      <w:pPr>
        <w:numPr>
          <w:ilvl w:val="1"/>
          <w:numId w:val="1017"/>
        </w:numPr>
        <w:pStyle w:val="Compact"/>
      </w:pPr>
      <w:r>
        <w:t xml:space="preserve">Energy Consumption in Use: 10 kWh/year</w:t>
      </w:r>
    </w:p>
    <w:p>
      <w:pPr>
        <w:numPr>
          <w:ilvl w:val="1"/>
          <w:numId w:val="1017"/>
        </w:numPr>
        <w:pStyle w:val="Compact"/>
      </w:pPr>
      <w:r>
        <w:t xml:space="preserve">Total Use Phase Energy: 7 years * 10 kWh/year = 70 kWh</w:t>
      </w:r>
    </w:p>
    <w:p>
      <w:pPr>
        <w:numPr>
          <w:ilvl w:val="1"/>
          <w:numId w:val="1017"/>
        </w:numPr>
        <w:pStyle w:val="Compact"/>
      </w:pPr>
      <w:r>
        <w:t xml:space="preserve">Europe Grid Electricity Factor: 0.20 kgCO2e/kWh</w:t>
      </w:r>
    </w:p>
    <w:p>
      <w:pPr>
        <w:numPr>
          <w:ilvl w:val="1"/>
          <w:numId w:val="1017"/>
        </w:numPr>
        <w:pStyle w:val="Compact"/>
      </w:pPr>
      <w:r>
        <w:t xml:space="preserve">Use Phase Emissions: 70 kWh * 0.20 kgCO2e/kWh = 14.00 kgCO2e</w:t>
      </w:r>
    </w:p>
    <w:p>
      <w:pPr>
        <w:numPr>
          <w:ilvl w:val="0"/>
          <w:numId w:val="1015"/>
        </w:numPr>
        <w:pStyle w:val="Compact"/>
      </w:pPr>
      <w:r>
        <w:rPr>
          <w:bCs/>
          <w:b/>
        </w:rPr>
        <w:t xml:space="preserve">End-of-Life (EoL) Treatment (Category 12 - End-of-Life Treatment of Sold Products):</w:t>
      </w:r>
    </w:p>
    <w:p>
      <w:pPr>
        <w:numPr>
          <w:ilvl w:val="1"/>
          <w:numId w:val="1018"/>
        </w:numPr>
        <w:pStyle w:val="Compact"/>
      </w:pPr>
      <w:r>
        <w:t xml:space="preserve">Total Product Mass for EoL: 0.95 kg</w:t>
      </w:r>
    </w:p>
    <w:p>
      <w:pPr>
        <w:numPr>
          <w:ilvl w:val="1"/>
          <w:numId w:val="1018"/>
        </w:numPr>
        <w:pStyle w:val="Compact"/>
      </w:pPr>
      <w:r>
        <w:t xml:space="preserve">Recycled Portion: 0.95 kg * 65% = 0.6175 kg</w:t>
      </w:r>
    </w:p>
    <w:p>
      <w:pPr>
        <w:numPr>
          <w:ilvl w:val="1"/>
          <w:numId w:val="1018"/>
        </w:numPr>
        <w:pStyle w:val="Compact"/>
      </w:pPr>
      <w:r>
        <w:t xml:space="preserve">Landfilled Portion: 0.95 kg * (1 - 65%) = 0.3325 kg</w:t>
      </w:r>
    </w:p>
    <w:p>
      <w:pPr>
        <w:numPr>
          <w:ilvl w:val="1"/>
          <w:numId w:val="1018"/>
        </w:numPr>
        <w:pStyle w:val="Compact"/>
      </w:pPr>
      <w:r>
        <w:t xml:space="preserve">Recycling Credit: 0.6175 kg * (-1.5 kgCO2e/kg) = -0.93 kgCO2e (Illustrative avoided emissions credit)</w:t>
      </w:r>
    </w:p>
    <w:p>
      <w:pPr>
        <w:numPr>
          <w:ilvl w:val="1"/>
          <w:numId w:val="1018"/>
        </w:numPr>
        <w:pStyle w:val="Compact"/>
      </w:pPr>
      <w:r>
        <w:t xml:space="preserve">Landfill Emissions: 0.3325 kg * 0.05 kgCO2e/kg = 0.02 kgCO2e (Illustrative)</w:t>
      </w:r>
    </w:p>
    <w:p>
      <w:pPr>
        <w:numPr>
          <w:ilvl w:val="1"/>
          <w:numId w:val="1018"/>
        </w:numPr>
        <w:pStyle w:val="Compact"/>
      </w:pPr>
      <w:r>
        <w:t xml:space="preserve">Total EoL Emissions: -0.93 + 0.02 = -0.91 kgCO2e (Net saving due to recycling)</w:t>
      </w:r>
    </w:p>
    <w:p>
      <w:pPr>
        <w:numPr>
          <w:ilvl w:val="0"/>
          <w:numId w:val="1015"/>
        </w:numPr>
        <w:pStyle w:val="Compact"/>
      </w:pPr>
      <w:r>
        <w:rPr>
          <w:bCs/>
          <w:b/>
        </w:rPr>
        <w:t xml:space="preserve">Total Downstream Scope 3 Emissions:</w:t>
      </w:r>
      <w:r>
        <w:t xml:space="preserve"> </w:t>
      </w:r>
      <w:r>
        <w:t xml:space="preserve">0.16 + 14.00 - 0.91 = 13.25 kgCO2e</w:t>
      </w:r>
    </w:p>
    <w:bookmarkEnd w:id="33"/>
    <w:bookmarkStart w:id="34" w:name="application-of-2026-lsr-update"/>
    <w:p>
      <w:pPr>
        <w:pStyle w:val="Heading4"/>
      </w:pPr>
      <w:r>
        <w:t xml:space="preserve">4.3.3. Application of 2026 LSR Update</w:t>
      </w:r>
    </w:p>
    <w:p>
      <w:pPr>
        <w:pStyle w:val="FirstParagraph"/>
      </w:pPr>
      <w:r>
        <w:t xml:space="preserve">The Land Sector and Removals (LSR) Standard (2026 update) emphasizes the accounting of land use and carbon removals. While specific primary data for LSR was not provided for kkqkefwpgo\'s supply chain, this report acknowledges its importance. For future iterations, efforts should be made to quantify carbon removals or land-use change emissions associated with bio-based materials (if applicable) or through nature-based solutions within the value chain. As no specific land use data was provided, no direct LSR calculations are included in the current quantitative PCF, but the framework is acknowledged.</w:t>
      </w:r>
    </w:p>
    <w:bookmarkEnd w:id="34"/>
    <w:bookmarkEnd w:id="35"/>
    <w:bookmarkStart w:id="36"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w:t>
            </w:r>
          </w:p>
        </w:tc>
        <w:tc>
          <w:tcPr/>
          <w:p>
            <w:pPr>
              <w:pStyle w:val="Compact"/>
              <w:jc w:val="left"/>
            </w:pPr>
            <w:r>
              <w:t xml:space="preserve">4.87</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4.35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Material &amp; component transport to factory</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Finished product transport to customer</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Energy consumption during product use</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Disposal and recycling</w:t>
            </w:r>
          </w:p>
        </w:tc>
      </w:tr>
      <w:tr>
        <w:tc>
          <w:tcPr>
            <w:gridSpan w:val="1"/>
            <w:vMerge w:val="continue"/>
          </w:tcPr>
          <w:p>
            <w:pPr/>
          </w:p>
        </w:tc>
        <w:tc>
          <w:tcPr/>
          <w:p>
            <w:pPr>
              <w:pStyle w:val="Compact"/>
              <w:jc w:val="left"/>
            </w:pPr>
            <w:r>
              <w:t xml:space="preserve">*Other Scope 3 Categories</w:t>
            </w:r>
          </w:p>
        </w:tc>
        <w:tc>
          <w:tcPr/>
          <w:p>
            <w:pPr>
              <w:pStyle w:val="Compact"/>
              <w:jc w:val="left"/>
            </w:pPr>
            <w:r>
              <w:t xml:space="preserve">(e.g., business travel, waste generated in operations etc.)</w:t>
            </w:r>
          </w:p>
        </w:tc>
        <w:tc>
          <w:tcPr/>
          <w:p>
            <w:pPr>
              <w:pStyle w:val="Compact"/>
              <w:jc w:val="left"/>
            </w:pPr>
            <w:r>
              <w:t xml:space="preserve">Not explicitly quantified in this product-level PCF but assumed to be covered for &gt;95% within the main categories for the product lifecycle.</w:t>
            </w:r>
          </w:p>
        </w:tc>
      </w:tr>
      <w:tr>
        <w:tc>
          <w:tcPr>
            <w:gridSpan w:val="3"/>
          </w:tcPr>
          <w:p>
            <w:pPr>
              <w:pStyle w:val="Compact"/>
              <w:jc w:val="right"/>
            </w:pPr>
            <w:r>
              <w:t xml:space="preserve">Total Product Carbon Footprint:</w:t>
            </w:r>
          </w:p>
        </w:tc>
        <w:tc>
          <w:tcPr/>
          <w:p>
            <w:pPr>
              <w:pStyle w:val="Compact"/>
              <w:jc w:val="left"/>
            </w:pPr>
            <w:r>
              <w:t xml:space="preserve">22.73 kgCO2e</w:t>
            </w:r>
          </w:p>
        </w:tc>
      </w:tr>
    </w:tbl>
    <w:p>
      <w:r>
        <w:pict>
          <v:rect style="width:0;height:1.5pt" o:hralign="center" o:hrstd="t" o:hr="t"/>
        </w:pict>
      </w:r>
    </w:p>
    <w:bookmarkEnd w:id="36"/>
    <w:bookmarkEnd w:id="37"/>
    <w:bookmarkStart w:id="41" w:name="review-reporting"/>
    <w:p>
      <w:pPr>
        <w:pStyle w:val="Heading2"/>
      </w:pPr>
      <w:r>
        <w:t xml:space="preserve">5. Review &amp; Reporting</w:t>
      </w:r>
    </w:p>
    <w:bookmarkStart w:id="38" w:name="hotspot-identification"/>
    <w:p>
      <w:pPr>
        <w:pStyle w:val="Heading3"/>
      </w:pPr>
      <w:r>
        <w:t xml:space="preserve">5.1. Hotspot Identification</w:t>
      </w:r>
    </w:p>
    <w:p>
      <w:pPr>
        <w:pStyle w:val="FirstParagraph"/>
      </w:pPr>
      <w:r>
        <w:t xml:space="preserve">Based on the detailed analysis, the primary hotspots contributing to the carbon footprint of kkqkefwpgo are:</w:t>
      </w:r>
    </w:p>
    <w:p>
      <w:pPr>
        <w:numPr>
          <w:ilvl w:val="0"/>
          <w:numId w:val="1019"/>
        </w:numPr>
        <w:pStyle w:val="Compact"/>
      </w:pPr>
      <w:r>
        <w:rPr>
          <w:bCs/>
          <w:b/>
        </w:rPr>
        <w:t xml:space="preserve">Use Phase (14.00 kgCO2e):</w:t>
      </w:r>
      <w:r>
        <w:t xml:space="preserve"> </w:t>
      </w:r>
      <w:r>
        <w:t xml:space="preserve">This is the most significant contributor, primarily due to the product\'s energy consumption over its 7-year lifespan. This highlights the importance of energy efficiency during the product\'s operational life and the grid mix of the region of use.</w:t>
      </w:r>
    </w:p>
    <w:p>
      <w:pPr>
        <w:numPr>
          <w:ilvl w:val="0"/>
          <w:numId w:val="1019"/>
        </w:numPr>
        <w:pStyle w:val="Compact"/>
      </w:pPr>
      <w:r>
        <w:rPr>
          <w:bCs/>
          <w:b/>
        </w:rPr>
        <w:t xml:space="preserve">Production Energy (4.87 kgCO2e):</w:t>
      </w:r>
      <w:r>
        <w:t xml:space="preserve"> </w:t>
      </w:r>
      <w:r>
        <w:t xml:space="preserve">Emissions from purchased electricity during manufacturing are substantial, emphasizing the need for increasing renewable energy procurement at production facilities.</w:t>
      </w:r>
    </w:p>
    <w:p>
      <w:pPr>
        <w:numPr>
          <w:ilvl w:val="0"/>
          <w:numId w:val="1019"/>
        </w:numPr>
        <w:pStyle w:val="Compact"/>
      </w:pPr>
      <w:r>
        <w:rPr>
          <w:bCs/>
          <w:b/>
        </w:rPr>
        <w:t xml:space="preserve">Material Acquisition (4.35 kgCO2e):</w:t>
      </w:r>
      <w:r>
        <w:t xml:space="preserve"> </w:t>
      </w:r>
      <w:r>
        <w:t xml:space="preserve">The carbon intensity of raw materials and their manufacturing processes is a notable factor. Optimizing material choices and engaging with suppliers on their decarbonization efforts are crucial.</w:t>
      </w:r>
    </w:p>
    <w:p>
      <w:pPr>
        <w:numPr>
          <w:ilvl w:val="0"/>
          <w:numId w:val="1019"/>
        </w:numPr>
        <w:pStyle w:val="Compact"/>
      </w:pPr>
      <w:r>
        <w:rPr>
          <w:bCs/>
          <w:b/>
        </w:rPr>
        <w:t xml:space="preserve">End-of-Life (-0.91 kgCO2e):</w:t>
      </w:r>
      <w:r>
        <w:t xml:space="preserve"> </w:t>
      </w:r>
      <w:r>
        <w:t xml:space="preserve">The net negative emissions for End-of-Life indicate a saving due to the high recyclability percentage and the company\'s take-back programs, demonstrating a positive circular economy impact.</w:t>
      </w:r>
    </w:p>
    <w:bookmarkEnd w:id="38"/>
    <w:bookmarkStart w:id="39" w:name="reliability-and-limitations"/>
    <w:p>
      <w:pPr>
        <w:pStyle w:val="Heading3"/>
      </w:pPr>
      <w:r>
        <w:t xml:space="preserve">5.2. Reliability and Limitations</w:t>
      </w:r>
    </w:p>
    <w:p>
      <w:pPr>
        <w:pStyle w:val="FirstParagraph"/>
      </w:pPr>
      <w:r>
        <w:t xml:space="preserve">The reliability of this PCF is considered high, given the use of a detailed Bill of Materials and specific operational parameters. However, certain limitations apply:</w:t>
      </w:r>
    </w:p>
    <w:p>
      <w:pPr>
        <w:numPr>
          <w:ilvl w:val="0"/>
          <w:numId w:val="1020"/>
        </w:numPr>
        <w:pStyle w:val="Compact"/>
      </w:pPr>
      <w:r>
        <w:rPr>
          <w:bCs/>
          <w:b/>
        </w:rPr>
        <w:t xml:space="preserve">Emission Factors:</w:t>
      </w:r>
      <w:r>
        <w:t xml:space="preserve"> </w:t>
      </w:r>
      <w:r>
        <w:t xml:space="preserve">Illustrative industry-average emission factors (approximating Ecoinvent/DEFRA data where specific datasets were not provided) were used for grid electricity, transportation, and end-of-life processes. Actual emissions could vary based on specific supplier data.</w:t>
      </w:r>
    </w:p>
    <w:p>
      <w:pPr>
        <w:numPr>
          <w:ilvl w:val="0"/>
          <w:numId w:val="1020"/>
        </w:numPr>
        <w:pStyle w:val="Compact"/>
      </w:pPr>
      <w:r>
        <w:rPr>
          <w:bCs/>
          <w:b/>
        </w:rPr>
        <w:t xml:space="preserve">Parameter Assumptions:</w:t>
      </w:r>
      <w:r>
        <w:t xml:space="preserve"> </w:t>
      </w:r>
      <w:r>
        <w:t xml:space="preserve">Specific parameters like transport modes, distances, and energy consumption in use were provided, reducing uncertainty.</w:t>
      </w:r>
    </w:p>
    <w:p>
      <w:pPr>
        <w:numPr>
          <w:ilvl w:val="0"/>
          <w:numId w:val="1020"/>
        </w:numPr>
        <w:pStyle w:val="Compact"/>
      </w:pPr>
      <w:r>
        <w:rPr>
          <w:bCs/>
          <w:b/>
        </w:rPr>
        <w:t xml:space="preserve">Scope 3 Coverage:</w:t>
      </w:r>
      <w:r>
        <w:t xml:space="preserve"> </w:t>
      </w:r>
      <w:r>
        <w:t xml:space="preserve">While efforts were made to achieve &gt;95% Scope 3 coverage by focusing on the most material categories for a product (materials, transport, use, EoL), some minor categories (e.g., business travel, capital goods) not directly attributable to the functional unit were excluded for the sake of product-level focus and data availability.</w:t>
      </w:r>
    </w:p>
    <w:p>
      <w:pPr>
        <w:numPr>
          <w:ilvl w:val="0"/>
          <w:numId w:val="1020"/>
        </w:numPr>
        <w:pStyle w:val="Compact"/>
      </w:pPr>
      <w:r>
        <w:rPr>
          <w:bCs/>
          <w:b/>
        </w:rPr>
        <w:t xml:space="preserve">LSR Data:</w:t>
      </w:r>
      <w:r>
        <w:t xml:space="preserve"> </w:t>
      </w:r>
      <w:r>
        <w:t xml:space="preserve">The application of the 2026 LSR update is qualitative in this report due to the absence of specific land-use change or carbon removal data at the product level.</w:t>
      </w:r>
    </w:p>
    <w:bookmarkEnd w:id="39"/>
    <w:bookmarkStart w:id="40" w:name="recommendations"/>
    <w:p>
      <w:pPr>
        <w:pStyle w:val="Heading3"/>
      </w:pPr>
      <w:r>
        <w:t xml:space="preserve">5.3. Recommendations</w:t>
      </w:r>
    </w:p>
    <w:p>
      <w:pPr>
        <w:pStyle w:val="FirstParagraph"/>
      </w:pPr>
      <w:r>
        <w:t xml:space="preserve">To further reduce the PCF of kkqkefwpgo, ugperpwhwn should focus on:</w:t>
      </w:r>
    </w:p>
    <w:p>
      <w:pPr>
        <w:numPr>
          <w:ilvl w:val="0"/>
          <w:numId w:val="1021"/>
        </w:numPr>
        <w:pStyle w:val="Compact"/>
      </w:pPr>
      <w:r>
        <w:rPr>
          <w:bCs/>
          <w:b/>
        </w:rPr>
        <w:t xml:space="preserve">Energy Efficiency in Use:</w:t>
      </w:r>
      <w:r>
        <w:t xml:space="preserve"> </w:t>
      </w:r>
      <w:r>
        <w:t xml:space="preserve">Invest in R&amp;D to enhance the energy efficiency of kkqkefwpgo during its operational lifespan to reduce the largest emission hotspot.</w:t>
      </w:r>
    </w:p>
    <w:p>
      <w:pPr>
        <w:numPr>
          <w:ilvl w:val="0"/>
          <w:numId w:val="1021"/>
        </w:numPr>
        <w:pStyle w:val="Compact"/>
      </w:pPr>
      <w:r>
        <w:rPr>
          <w:bCs/>
          <w:b/>
        </w:rPr>
        <w:t xml:space="preserve">Renewable Energy Procurement:</w:t>
      </w:r>
      <w:r>
        <w:t xml:space="preserve"> </w:t>
      </w:r>
      <w:r>
        <w:t xml:space="preserve">Increase the percentage of renewable energy used in manufacturing facilities beyond the current 30% through direct procurement, PPAs, or high-quality Renewable Energy Certificates (RECs).</w:t>
      </w:r>
    </w:p>
    <w:p>
      <w:pPr>
        <w:numPr>
          <w:ilvl w:val="0"/>
          <w:numId w:val="1021"/>
        </w:numPr>
        <w:pStyle w:val="Compact"/>
      </w:pPr>
      <w:r>
        <w:rPr>
          <w:bCs/>
          <w:b/>
        </w:rPr>
        <w:t xml:space="preserve">Supply Chain Engagement:</w:t>
      </w:r>
      <w:r>
        <w:t xml:space="preserve"> </w:t>
      </w:r>
      <w:r>
        <w:t xml:space="preserve">Collaborate with material suppliers to identify and integrate lower-carbon materials and manufacturing processes.</w:t>
      </w:r>
    </w:p>
    <w:p>
      <w:pPr>
        <w:numPr>
          <w:ilvl w:val="0"/>
          <w:numId w:val="1021"/>
        </w:numPr>
        <w:pStyle w:val="Compact"/>
      </w:pPr>
      <w:r>
        <w:rPr>
          <w:bCs/>
          <w:b/>
        </w:rPr>
        <w:t xml:space="preserve">Circular Economy Expansion:</w:t>
      </w:r>
      <w:r>
        <w:t xml:space="preserve"> </w:t>
      </w:r>
      <w:r>
        <w:t xml:space="preserve">Continue to strengthen and expand take-back and recycling programs, exploring closed-loop recycling opportunities where feasible to maximize avoided emissions.</w:t>
      </w:r>
    </w:p>
    <w:p>
      <w:r>
        <w:pict>
          <v:rect style="width:0;height:1.5pt" o:hralign="center" o:hrstd="t" o:hr="t"/>
        </w:pict>
      </w:r>
    </w:p>
    <w:p>
      <w:pPr>
        <w:pStyle w:val="FirstParagraph"/>
      </w:pPr>
      <w:r>
        <w:t xml:space="preserve">Confidential - Internal Use Only</w:t>
      </w:r>
    </w:p>
    <w:p>
      <w:pPr>
        <w:pStyle w:val="BodyText"/>
      </w:pPr>
      <w:r>
        <w:t xml:space="preserve">Report prepared by ijxlzwzwnu for ugperpwhwn</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kkqkefwpgo</dc:title>
  <dc:creator/>
  <dc:description>Detailed Product Carbon Footprint (PCF) analysis for product kkqkefwpgo, prepared by Senior Sustainability Consultant ijxlzwzwnu for ugperpwhwn, adhering to GHG Protocol standards and 2026 LSR update requirements.</dc:description>
  <dc:language>en</dc:language>
  <cp:keywords/>
  <dcterms:created xsi:type="dcterms:W3CDTF">2026-07-15T05:06:43Z</dcterms:created>
  <dcterms:modified xsi:type="dcterms:W3CDTF">2026-07-15T05:06:43Z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