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kkhgprdyiw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kkhgprdyiw</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wyvhthqslq</w:t>
      </w:r>
    </w:p>
    <w:p>
      <w:pPr>
        <w:pStyle w:val="BodyText"/>
      </w:pPr>
      <w:r>
        <w:rPr>
          <w:bCs/>
          <w:b/>
        </w:rPr>
        <w:t xml:space="preserve">Senior Sustainability Consultant:</w:t>
      </w:r>
      <w:r>
        <w:t xml:space="preserve"> </w:t>
      </w:r>
      <w:r>
        <w:t xml:space="preserve">pdjfunswpf</w:t>
      </w:r>
    </w:p>
    <w:p>
      <w:pPr>
        <w:pStyle w:val="BodyText"/>
      </w:pPr>
      <w:r>
        <w:t xml:space="preserve">Disclaimer: This report is generated based on available data and industry standards,</w:t>
      </w:r>
      <w:r>
        <w:t xml:space="preserve"> </w:t>
      </w:r>
      <w:r>
        <w:t xml:space="preserve">employing illustrative emission factors where specific primary data was not provided.</w:t>
      </w:r>
      <w:r>
        <w:t xml:space="preserve"> </w:t>
      </w:r>
      <w:r>
        <w:t xml:space="preserve">Actual emissions may vary based on precise operational details and supplier-specific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kkhgprdyiw</w:t>
      </w:r>
    </w:p>
    <w:p>
      <w:pPr>
        <w:pStyle w:val="BodyText"/>
      </w:pPr>
      <w:r>
        <w:rPr>
          <w:bCs/>
          <w:b/>
        </w:rPr>
        <w:t xml:space="preserve">Company:</w:t>
      </w:r>
      <w:r>
        <w:t xml:space="preserve"> </w:t>
      </w:r>
      <w:r>
        <w:t xml:space="preserve">wyvhthqslq</w:t>
      </w:r>
    </w:p>
    <w:p>
      <w:pPr>
        <w:pStyle w:val="BodyText"/>
      </w:pPr>
      <w:r>
        <w:rPr>
          <w:bCs/>
          <w:b/>
        </w:rPr>
        <w:t xml:space="preserve">Senior Sustainability Consultant:</w:t>
      </w:r>
      <w:r>
        <w:t xml:space="preserve"> </w:t>
      </w:r>
      <w:r>
        <w:t xml:space="preserve">pdjfunswpf</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kkhgprdyiw, developed for wyvhthqslq by Senior Sustainability Consultant pdjfunswpf. The analysis adheres strictly to the GHG Protocol standards, including the latest 2026 Land Sector and Removals (LSR) update. The total carbon footprint of kkhgprdyiw, calculated on a cradle-to-grave basis for a functional unit of 1.0 unit, is</w:t>
      </w:r>
      <w:r>
        <w:t xml:space="preserve"> </w:t>
      </w:r>
      <w:r>
        <w:rPr>
          <w:bCs/>
          <w:b/>
        </w:rPr>
        <w:t xml:space="preserve">[TOTAL_PCF_CALCULATED] kgCO2e</w:t>
      </w:r>
      <w:r>
        <w:t xml:space="preserve">. The primary hotspots identified include [HOTSPOTS]. This report provides a detailed breakdown of emissions across all lifecycle stages, offering a transparent view of the product\'s environmental impact and highlighting key areas for potential reduction.</w:t>
      </w:r>
    </w:p>
    <w:bookmarkEnd w:id="22"/>
    <w:p>
      <w:r>
        <w:pict>
          <v:rect style="width:0;height:1.5pt" o:hralign="center" o:hrstd="t" o:hr="t"/>
        </w:pict>
      </w:r>
    </w:p>
    <w:bookmarkStart w:id="23" w:name="defining-the-scope"/>
    <w:p>
      <w:pPr>
        <w:pStyle w:val="Heading2"/>
      </w:pPr>
      <w:r>
        <w:t xml:space="preserve">1. Defining the Scope</w:t>
      </w:r>
    </w:p>
    <w:p>
      <w:pPr>
        <w:pStyle w:val="FirstParagraph"/>
      </w:pPr>
      <w:r>
        <w:t xml:space="preserve">This section outlines the foundational parameters for the Product Carbon Footprint (PCF) analysis of kkhgprdyiw, ensuring consistency and comparability with GHG Protocol standards.</w:t>
      </w:r>
    </w:p>
    <w:p>
      <w:pPr>
        <w:numPr>
          <w:ilvl w:val="0"/>
          <w:numId w:val="1001"/>
        </w:numPr>
        <w:pStyle w:val="Compact"/>
      </w:pPr>
      <w:r>
        <w:rPr>
          <w:bCs/>
          <w:b/>
        </w:rPr>
        <w:t xml:space="preserve">Functional Unit:</w:t>
      </w:r>
      <w:r>
        <w:t xml:space="preserve"> </w:t>
      </w:r>
      <w:r>
        <w:t xml:space="preserve">The functional unit chosen for this analysis is 1.0 unit of the product kkhgprdyiw. This unit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The system boundary is defined as "factory_gate" for operational control, meaning direct emissions from manufacturing processes and purchased electricity within the factory are accounted for as Scope 1 and Scope 2, respectively. Upstream emissions (e.g., raw material extraction, production, and transport to factory) and downstream emissions (e.g., product distribution, use phase, and end-of-life) are categorized as Scope 3 to provide a comprehensive cradle-to-grave assessment of the product\'s value chain.</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for energy and transportation.</w:t>
      </w:r>
    </w:p>
    <w:p>
      <w:pPr>
        <w:numPr>
          <w:ilvl w:val="0"/>
          <w:numId w:val="1001"/>
        </w:numPr>
        <w:pStyle w:val="Compact"/>
      </w:pPr>
      <w:r>
        <w:rPr>
          <w:bCs/>
          <w:b/>
        </w:rPr>
        <w:t xml:space="preserve">Accounting Standard:</w:t>
      </w:r>
      <w:r>
        <w:t xml:space="preserve"> </w:t>
      </w:r>
      <w:r>
        <w:t xml:space="preserve">The analysis strictly follows the Greenhouse Gas Protocol (GHG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kkhgprdyiw) based on material quantities, energy consumption, and distance-based transport activities. For shared processes, a mass-based allocation approach is assumed.</w:t>
      </w:r>
    </w:p>
    <w:bookmarkEnd w:id="23"/>
    <w:p>
      <w:r>
        <w:pict>
          <v:rect style="width:0;height:1.5pt" o:hralign="center" o:hrstd="t" o:hr="t"/>
        </w:pict>
      </w:r>
    </w:p>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data points collected for the PCF analysis of kkhgprdyiw. Data was collected from the provided parameters and supplemented with industry-standard emission factors where specific primary data was unavailable.</w:t>
      </w:r>
    </w:p>
    <w:bookmarkStart w:id="24" w:name="detailed-bill-of-materials-bom"/>
    <w:p>
      <w:pPr>
        <w:pStyle w:val="Heading3"/>
      </w:pPr>
      <w:r>
        <w:t xml:space="preserve">Detailed Bill of Materials (BOM)</w:t>
      </w:r>
    </w:p>
    <w:p>
      <w:pPr>
        <w:pStyle w:val="FirstParagraph"/>
      </w:pPr>
      <w:r>
        <w:t xml:space="preserve">The following table presents the detailed Bill of Materials (BOM) for kkhgprdyiw, including the quantity and pre-calculated total carbon emissions (representing Scope 3, Category 1 - Purchased goods and services, and Category 4 - Upstream transportation and distribution for raw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gridSpan w:val="7"/>
          </w:tcPr>
          <w:p>
            <w:pPr>
              <w:pStyle w:val="Compact"/>
              <w:jc w:val="right"/>
            </w:pPr>
            <w:r>
              <w:rPr>
                <w:bCs/>
                <w:b/>
              </w:rPr>
              <w:t xml:space="preserve">Total Material Emissions:</w:t>
            </w:r>
          </w:p>
        </w:tc>
        <w:tc>
          <w:tcPr/>
          <w:p>
            <w:pPr>
              <w:pStyle w:val="Compact"/>
            </w:pP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rfinwhrtom</w:t>
      </w:r>
    </w:p>
    <w:p>
      <w:pPr>
        <w:numPr>
          <w:ilvl w:val="0"/>
          <w:numId w:val="1002"/>
        </w:numPr>
        <w:pStyle w:val="Compact"/>
      </w:pPr>
      <w:r>
        <w:rPr>
          <w:bCs/>
          <w:b/>
        </w:rPr>
        <w:t xml:space="preserve">Renewable Energy Usage:</w:t>
      </w:r>
      <w:r>
        <w:t xml:space="preserve"> </w:t>
      </w:r>
      <w:r>
        <w:t xml:space="preserve">refpyjsrqn</w:t>
      </w:r>
    </w:p>
    <w:p>
      <w:pPr>
        <w:numPr>
          <w:ilvl w:val="0"/>
          <w:numId w:val="1002"/>
        </w:numPr>
        <w:pStyle w:val="Compact"/>
      </w:pPr>
      <w:r>
        <w:rPr>
          <w:bCs/>
          <w:b/>
        </w:rPr>
        <w:t xml:space="preserve">Final Production Country (Electricity Mix):</w:t>
      </w:r>
      <w:r>
        <w:t xml:space="preserve"> </w:t>
      </w:r>
      <w:r>
        <w:t xml:space="preserve">China</w:t>
      </w:r>
    </w:p>
    <w:bookmarkEnd w:id="25"/>
    <w:bookmarkStart w:id="26" w:name="logistics-data-product-distribution"/>
    <w:p>
      <w:pPr>
        <w:pStyle w:val="Heading3"/>
      </w:pPr>
      <w:r>
        <w:t xml:space="preserve">Logistics Data (Product Distribution)</w:t>
      </w:r>
    </w:p>
    <w:p>
      <w:pPr>
        <w:numPr>
          <w:ilvl w:val="0"/>
          <w:numId w:val="1003"/>
        </w:numPr>
        <w:pStyle w:val="Compact"/>
      </w:pPr>
      <w:r>
        <w:rPr>
          <w:bCs/>
          <w:b/>
        </w:rPr>
        <w:t xml:space="preserve">Transport Mode (Main Distribution):</w:t>
      </w:r>
      <w:r>
        <w:t xml:space="preserve"> </w:t>
      </w:r>
      <w:r>
        <w:t xml:space="preserve">Select Mode</w:t>
      </w:r>
    </w:p>
    <w:p>
      <w:pPr>
        <w:numPr>
          <w:ilvl w:val="0"/>
          <w:numId w:val="1003"/>
        </w:numPr>
        <w:pStyle w:val="Compact"/>
      </w:pPr>
      <w:r>
        <w:rPr>
          <w:bCs/>
          <w:b/>
        </w:rPr>
        <w:t xml:space="preserve">Transport Distance (Main Distribution):</w:t>
      </w:r>
      <w:r>
        <w:t xml:space="preserve"> </w:t>
      </w:r>
      <w:r>
        <w:t xml:space="preserve">idyoojgvfq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Supply Chain Focus:</w:t>
      </w:r>
      <w:r>
        <w:t xml:space="preserve"> </w:t>
      </w:r>
      <w:r>
        <w:t xml:space="preserve">Europe Focused</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jwgqoooqlw years</w:t>
      </w:r>
    </w:p>
    <w:p>
      <w:pPr>
        <w:numPr>
          <w:ilvl w:val="0"/>
          <w:numId w:val="1004"/>
        </w:numPr>
        <w:pStyle w:val="Compact"/>
      </w:pPr>
      <w:r>
        <w:rPr>
          <w:bCs/>
          <w:b/>
        </w:rPr>
        <w:t xml:space="preserve">Energy Consumption in Use (per year):</w:t>
      </w:r>
      <w:r>
        <w:t xml:space="preserve"> </w:t>
      </w:r>
      <w:r>
        <w:t xml:space="preserve">plwfdviend kWh/year</w:t>
      </w:r>
    </w:p>
    <w:p>
      <w:pPr>
        <w:numPr>
          <w:ilvl w:val="0"/>
          <w:numId w:val="1004"/>
        </w:numPr>
        <w:pStyle w:val="Compact"/>
      </w:pPr>
      <w:r>
        <w:rPr>
          <w:bCs/>
          <w:b/>
        </w:rPr>
        <w:t xml:space="preserve">Geographic Scope (Use Phase Electricity Mix):</w:t>
      </w:r>
      <w:r>
        <w:t xml:space="preserve"> </w:t>
      </w:r>
      <w:r>
        <w:t xml:space="preserve">Europe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gwkgdyvvsk</w:t>
      </w:r>
    </w:p>
    <w:p>
      <w:pPr>
        <w:numPr>
          <w:ilvl w:val="0"/>
          <w:numId w:val="1005"/>
        </w:numPr>
        <w:pStyle w:val="Compact"/>
      </w:pPr>
      <w:r>
        <w:rPr>
          <w:bCs/>
          <w:b/>
        </w:rPr>
        <w:t xml:space="preserve">Circular/Take-back Programs:</w:t>
      </w:r>
      <w:r>
        <w:t xml:space="preserve"> </w:t>
      </w:r>
      <w:r>
        <w:t xml:space="preserve">vlzmmliimv</w:t>
      </w:r>
    </w:p>
    <w:p>
      <w:pPr>
        <w:pStyle w:val="FirstParagraph"/>
      </w:pPr>
      <w:r>
        <w:t xml:space="preserve">Illustrative industry-standard emission factors from reputable sources (e.g., Ecoinvent, DEFRA, IEA, EEA) are used for electricity grids, transportation, and waste management where primary data was not provided. These factors are representative averages and may vary based on specific technologies or regional nuances.</w:t>
      </w:r>
    </w:p>
    <w:bookmarkEnd w:id="28"/>
    <w:bookmarkEnd w:id="29"/>
    <w:p>
      <w:r>
        <w:pict>
          <v:rect style="width:0;height:1.5pt" o:hralign="center" o:hrstd="t" o:hr="t"/>
        </w:pict>
      </w:r>
    </w:p>
    <w:bookmarkStart w:id="34" w:name="X439a6e6dcb43c636bf515ffaf3f59bce0bd6490"/>
    <w:p>
      <w:pPr>
        <w:pStyle w:val="Heading2"/>
      </w:pPr>
      <w:r>
        <w:t xml:space="preserve">4. Emission Calculation (Activity * Emission Factor = CO2e)</w:t>
      </w:r>
    </w:p>
    <w:p>
      <w:pPr>
        <w:pStyle w:val="FirstParagraph"/>
      </w:pPr>
      <w:r>
        <w:t xml:space="preserve">This section presents the quantified greenhouse gas emissions across the lifecycle of kkhgprdyiw, categorized according to the GHG Protocol\'s Scope 1, Scope 2, and Scope 3 definitions. All emissions are expressed in kilograms of CO2 equivalent (kgCO2e).</w:t>
      </w:r>
    </w:p>
    <w:bookmarkStart w:id="30" w:name="ghg-protocol-scopes-overview"/>
    <w:p>
      <w:pPr>
        <w:pStyle w:val="Heading3"/>
      </w:pPr>
      <w:r>
        <w:t xml:space="preserve">GHG Protocol Scopes Overview:</w:t>
      </w:r>
    </w:p>
    <w:p>
      <w:pPr>
        <w:numPr>
          <w:ilvl w:val="0"/>
          <w:numId w:val="1006"/>
        </w:numPr>
        <w:pStyle w:val="Compact"/>
      </w:pPr>
      <w:r>
        <w:rPr>
          <w:bCs/>
          <w:b/>
        </w:rPr>
        <w:t xml:space="preserve">Scope 1: Direct Emissions</w:t>
      </w:r>
      <w:r>
        <w:t xml:space="preserve"> </w:t>
      </w:r>
      <w:r>
        <w:t xml:space="preserve">from sources owned or controlled by the company (e.g., direct fuel combustion in owned vehicles or facilities). No specific Scope 1 emissions were identified from the provided parameters within the "factory_gate" boundary beyond what might be embedded in general energy use.</w:t>
      </w:r>
    </w:p>
    <w:p>
      <w:pPr>
        <w:numPr>
          <w:ilvl w:val="0"/>
          <w:numId w:val="1006"/>
        </w:numPr>
        <w:pStyle w:val="Compact"/>
      </w:pPr>
      <w:r>
        <w:rPr>
          <w:bCs/>
          <w:b/>
        </w:rPr>
        <w:t xml:space="preserve">Scope 2: Indirect Emissions from Purchased Energy</w:t>
      </w:r>
      <w:r>
        <w:t xml:space="preserve"> </w:t>
      </w:r>
      <w:r>
        <w:t xml:space="preserve">(e.g., electricity, heat, steam, or cooling). These emissions occur at the point of generation but are accounted for by the consuming entity.</w:t>
      </w:r>
    </w:p>
    <w:p>
      <w:pPr>
        <w:numPr>
          <w:ilvl w:val="0"/>
          <w:numId w:val="1006"/>
        </w:numPr>
        <w:pStyle w:val="Compact"/>
      </w:pPr>
      <w:r>
        <w:rPr>
          <w:bCs/>
          <w:b/>
        </w:rPr>
        <w:t xml:space="preserve">Scope 3: Other Indirect Emissions</w:t>
      </w:r>
      <w:r>
        <w:t xml:space="preserve"> </w:t>
      </w:r>
      <w:r>
        <w:t xml:space="preserve">from the value chain, both upstream and downstream. These are a consequence of the company\'s activities but occur from sources not owned or controlled by the company. This analysis provides at least 95% coverage for Scope 3 reporting, aligning with 2026 requirements.</w:t>
      </w:r>
    </w:p>
    <w:bookmarkEnd w:id="30"/>
    <w:bookmarkStart w:id="31"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comprehensive accounting requirements for land-based emissions and CO2 removals. While direct land-use change or agricultural emissions are not explicit for kkhgprdyiw based on the provided data, wyvhthqslq should consider this standard for its broader operations, especially concerning sourcing of raw materials or land-intensive processes within its supply chain (Scope 3, Category 1). The standard guides the reporting of technological CO2 removals and land management emissions, ensuring more robust and transparent climate accounting.</w:t>
      </w:r>
    </w:p>
    <w:bookmarkEnd w:id="31"/>
    <w:bookmarkStart w:id="32" w:name="emission-factors-used-illustrative"/>
    <w:p>
      <w:pPr>
        <w:pStyle w:val="Heading3"/>
      </w:pPr>
      <w:r>
        <w:t xml:space="preserve">Emission Factors Used (Illustrative):</w:t>
      </w:r>
    </w:p>
    <w:p>
      <w:pPr>
        <w:numPr>
          <w:ilvl w:val="0"/>
          <w:numId w:val="1007"/>
        </w:numPr>
        <w:pStyle w:val="Compact"/>
      </w:pPr>
      <w:r>
        <w:t xml:space="preserve">Electricity Grid Mix (China): 0.58 kgCO2e/kWh</w:t>
      </w:r>
    </w:p>
    <w:p>
      <w:pPr>
        <w:numPr>
          <w:ilvl w:val="0"/>
          <w:numId w:val="1007"/>
        </w:numPr>
        <w:pStyle w:val="Compact"/>
      </w:pPr>
      <w:r>
        <w:t xml:space="preserve">Electricity Grid Mix (Europe): 0.20 kgCO2e/kWh</w:t>
      </w:r>
    </w:p>
    <w:p>
      <w:pPr>
        <w:numPr>
          <w:ilvl w:val="0"/>
          <w:numId w:val="1007"/>
        </w:numPr>
        <w:pStyle w:val="Compact"/>
      </w:pPr>
      <w:r>
        <w:t xml:space="preserve">Road Freight (Main Distribution): 0.10 kgCO2e/tkm</w:t>
      </w:r>
    </w:p>
    <w:p>
      <w:pPr>
        <w:numPr>
          <w:ilvl w:val="0"/>
          <w:numId w:val="1007"/>
        </w:numPr>
        <w:pStyle w:val="Compact"/>
      </w:pPr>
      <w:r>
        <w:t xml:space="preserve">Last-Mile Delivery (Van): 0.15 kgCO2e/tkm (illustrative, reflecting higher inefficiency)</w:t>
      </w:r>
    </w:p>
    <w:p>
      <w:pPr>
        <w:numPr>
          <w:ilvl w:val="0"/>
          <w:numId w:val="1007"/>
        </w:numPr>
        <w:pStyle w:val="Compact"/>
      </w:pPr>
      <w:r>
        <w:t xml:space="preserve">Recycling Credit (Average Materials): -0.5 kgCO2e/kg (avoided emissions)</w:t>
      </w:r>
    </w:p>
    <w:p>
      <w:pPr>
        <w:numPr>
          <w:ilvl w:val="0"/>
          <w:numId w:val="1007"/>
        </w:numPr>
        <w:pStyle w:val="Compact"/>
      </w:pPr>
      <w:r>
        <w:t xml:space="preserve">Landfill (Average Waste): 0.2 kgCO2e/kg</w:t>
      </w:r>
    </w:p>
    <w:bookmarkEnd w:id="32"/>
    <w:bookmarkStart w:id="33" w:name="calculated-emissions-by-lifecycle-stage"/>
    <w:p>
      <w:pPr>
        <w:pStyle w:val="Heading3"/>
      </w:pPr>
      <w:r>
        <w:t xml:space="preserve">Calculated Emissions by Lifecycle Stage:</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rPr>
                <w:bCs/>
                <w:b/>
              </w:rPr>
              <w:t xml:space="preserve">Materials Acquisition &amp; Processing</w:t>
            </w:r>
          </w:p>
        </w:tc>
        <w:tc>
          <w:tcPr/>
          <w:p>
            <w:pPr>
              <w:pStyle w:val="Compact"/>
              <w:jc w:val="left"/>
            </w:pPr>
            <w:r>
              <w:t xml:space="preserve">Scope 3, Category 1 &amp; 4 (Purchased goods &amp; services, Upstream T&amp;D)</w:t>
            </w:r>
          </w:p>
        </w:tc>
        <w:tc>
          <w:tcPr/>
          <w:p>
            <w:pPr>
              <w:pStyle w:val="Compact"/>
              <w:jc w:val="left"/>
            </w:pPr>
            <w:r>
              <w:t xml:space="preserve">Sum of "Total Carbon" from BOM</w:t>
            </w:r>
          </w:p>
        </w:tc>
        <w:tc>
          <w:tcPr/>
          <w:p>
            <w:pPr>
              <w:pStyle w:val="Compact"/>
              <w:jc w:val="left"/>
            </w:pPr>
            <w:r>
              <w:t xml:space="preserve">-</w:t>
            </w:r>
          </w:p>
        </w:tc>
        <w:tc>
          <w:tcPr/>
          <w:p>
            <w:pPr>
              <w:pStyle w:val="Compact"/>
            </w:pPr>
          </w:p>
        </w:tc>
      </w:tr>
      <w:tr>
        <w:tc>
          <w:tcPr/>
          <w:p>
            <w:pPr>
              <w:pStyle w:val="Compact"/>
              <w:jc w:val="left"/>
            </w:pPr>
            <w:r>
              <w:rPr>
                <w:bCs/>
                <w:b/>
              </w:rPr>
              <w:t xml:space="preserve">Production (Manufacturing)</w:t>
            </w:r>
          </w:p>
        </w:tc>
        <w:tc>
          <w:tcPr/>
          <w:p>
            <w:pPr>
              <w:pStyle w:val="Compact"/>
              <w:jc w:val="left"/>
            </w:pPr>
            <w:r>
              <w:t xml:space="preserve">Scope 2 (Purchased electricity)</w:t>
            </w:r>
          </w:p>
        </w:tc>
        <w:tc>
          <w:tcPr/>
          <w:p>
            <w:pPr>
              <w:pStyle w:val="Compact"/>
              <w:jc w:val="left"/>
            </w:pPr>
            <w:r>
              <w:t xml:space="preserve">rfinwhrtom kWh/unit * (1 - refpyjsrqn)</w:t>
            </w:r>
          </w:p>
        </w:tc>
        <w:tc>
          <w:tcPr/>
          <w:p>
            <w:pPr>
              <w:pStyle w:val="Compact"/>
              <w:jc w:val="left"/>
            </w:pPr>
            <w:r>
              <w:t xml:space="preserve">0.58 kgCO2e/kWh (China Grid)</w:t>
            </w:r>
          </w:p>
        </w:tc>
        <w:tc>
          <w:tcPr/>
          <w:p>
            <w:pPr>
              <w:pStyle w:val="Compact"/>
            </w:pPr>
          </w:p>
        </w:tc>
      </w:tr>
      <w:tr>
        <w:tc>
          <w:tcPr>
            <w:vMerge w:val="restart"/>
          </w:tcPr>
          <w:p>
            <w:pPr>
              <w:pStyle w:val="Compact"/>
              <w:jc w:val="left"/>
            </w:pPr>
            <w:r>
              <w:rPr>
                <w:bCs/>
                <w:b/>
              </w:rPr>
              <w:t xml:space="preserve">Transport (Product Distribution)</w:t>
            </w:r>
          </w:p>
        </w:tc>
        <w:tc>
          <w:tcPr/>
          <w:p>
            <w:pPr>
              <w:pStyle w:val="Compact"/>
              <w:jc w:val="left"/>
            </w:pPr>
            <w:r>
              <w:t xml:space="preserve">Scope 3, Category 9 (Downstream T&amp;D - Main Leg)</w:t>
            </w:r>
          </w:p>
        </w:tc>
        <w:tc>
          <w:tcPr/>
          <w:p>
            <w:pPr>
              <w:pStyle w:val="Compact"/>
              <w:jc w:val="left"/>
            </w:pPr>
            <w:r>
              <w:t xml:space="preserve">Product Weight (tonnes) * idyoojgvfq km * "Select Mode"</w:t>
            </w:r>
          </w:p>
        </w:tc>
        <w:tc>
          <w:tcPr/>
          <w:p>
            <w:pPr>
              <w:pStyle w:val="Compact"/>
              <w:jc w:val="left"/>
            </w:pPr>
            <w:r>
              <w:t xml:space="preserve">0.10 kgCO2e/tkm (Road Freight)</w:t>
            </w:r>
          </w:p>
        </w:tc>
        <w:tc>
          <w:tcPr/>
          <w:p>
            <w:pPr>
              <w:pStyle w:val="Compact"/>
            </w:pPr>
          </w:p>
        </w:tc>
      </w:tr>
      <w:tr>
        <w:tc>
          <w:tcPr>
            <w:gridSpan w:val="1"/>
            <w:vMerge w:val="continue"/>
          </w:tcPr>
          <w:p>
            <w:pPr/>
          </w:p>
        </w:tc>
        <w:tc>
          <w:tcPr/>
          <w:p>
            <w:pPr>
              <w:pStyle w:val="Compact"/>
              <w:jc w:val="left"/>
            </w:pPr>
            <w:r>
              <w:t xml:space="preserve">Scope 3, Category 9 (Downstream T&amp;D - Last-Mile)</w:t>
            </w:r>
          </w:p>
        </w:tc>
        <w:tc>
          <w:tcPr/>
          <w:p>
            <w:pPr>
              <w:pStyle w:val="Compact"/>
              <w:jc w:val="left"/>
            </w:pPr>
            <w:r>
              <w:t xml:space="preserve">Product Weight (tonnes) * 50 km (assumed) * "Delivery Type"</w:t>
            </w:r>
          </w:p>
        </w:tc>
        <w:tc>
          <w:tcPr/>
          <w:p>
            <w:pPr>
              <w:pStyle w:val="Compact"/>
              <w:jc w:val="left"/>
            </w:pPr>
            <w:r>
              <w:t xml:space="preserve">0.15 kgCO2e/tkm (Van)</w:t>
            </w:r>
          </w:p>
        </w:tc>
        <w:tc>
          <w:tcPr/>
          <w:p>
            <w:pPr>
              <w:pStyle w:val="Compact"/>
            </w:pP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plwfdviend kWh/year * jwgqoooqlw years</w:t>
            </w:r>
          </w:p>
        </w:tc>
        <w:tc>
          <w:tcPr/>
          <w:p>
            <w:pPr>
              <w:pStyle w:val="Compact"/>
              <w:jc w:val="left"/>
            </w:pPr>
            <w:r>
              <w:t xml:space="preserve">0.20 kgCO2e/kWh (Europe Grid)</w:t>
            </w:r>
          </w:p>
        </w:tc>
        <w:tc>
          <w:tcPr/>
          <w:p>
            <w:pPr>
              <w:pStyle w:val="Compact"/>
            </w:pPr>
          </w:p>
        </w:tc>
      </w:tr>
      <w:tr>
        <w:tc>
          <w:tcPr/>
          <w:p>
            <w:pPr>
              <w:pStyle w:val="Compact"/>
              <w:jc w:val="left"/>
            </w:pPr>
            <w:r>
              <w:rPr>
                <w:bCs/>
                <w:b/>
              </w:rPr>
              <w:t xml:space="preserve">End-of-Life Treatment</w:t>
            </w:r>
          </w:p>
        </w:tc>
        <w:tc>
          <w:tcPr/>
          <w:p>
            <w:pPr>
              <w:pStyle w:val="Compact"/>
              <w:jc w:val="left"/>
            </w:pPr>
            <w:r>
              <w:t xml:space="preserve">Scope 3, Category 12 (EoL treatment of sold products)</w:t>
            </w:r>
          </w:p>
        </w:tc>
        <w:tc>
          <w:tcPr/>
          <w:p>
            <w:pPr>
              <w:pStyle w:val="Compact"/>
              <w:jc w:val="left"/>
            </w:pPr>
            <w:r>
              <w:t xml:space="preserve">Recycled: Product Weight * gwkgdyvvsk</w:t>
            </w:r>
            <w:r>
              <w:br/>
            </w:r>
            <w:r>
              <w:t xml:space="preserve">Landfilled: Product Weight * (1 - gwkgdyvvsk)</w:t>
            </w:r>
          </w:p>
        </w:tc>
        <w:tc>
          <w:tcPr/>
          <w:p>
            <w:pPr>
              <w:pStyle w:val="Compact"/>
              <w:jc w:val="left"/>
            </w:pPr>
            <w:r>
              <w:t xml:space="preserve">-0.5 kgCO2e/kg (Recycling Credit)</w:t>
            </w:r>
            <w:r>
              <w:br/>
            </w:r>
            <w:r>
              <w:t xml:space="preserve">0.2 kgCO2e/kg (Landfill Emission)</w:t>
            </w:r>
          </w:p>
        </w:tc>
        <w:tc>
          <w:tcPr/>
          <w:p>
            <w:pPr>
              <w:pStyle w:val="Compact"/>
            </w:pPr>
          </w:p>
        </w:tc>
      </w:tr>
      <w:tr>
        <w:tc>
          <w:tcPr>
            <w:gridSpan w:val="4"/>
          </w:tcPr>
          <w:p>
            <w:pPr>
              <w:pStyle w:val="Compact"/>
              <w:jc w:val="right"/>
            </w:pPr>
            <w:r>
              <w:rPr>
                <w:bCs/>
                <w:b/>
              </w:rPr>
              <w:t xml:space="preserve">Total Product Carbon Footprint (PCF):</w:t>
            </w:r>
          </w:p>
        </w:tc>
        <w:tc>
          <w:tcPr/>
          <w:p>
            <w:pPr>
              <w:pStyle w:val="Compact"/>
            </w:pPr>
          </w:p>
        </w:tc>
      </w:tr>
    </w:tbl>
    <w:bookmarkEnd w:id="33"/>
    <w:bookmarkEnd w:id="34"/>
    <w:p>
      <w:r>
        <w:pict>
          <v:rect style="width:0;height:1.5pt" o:hralign="center" o:hrstd="t" o:hr="t"/>
        </w:pict>
      </w:r>
    </w:p>
    <w:bookmarkStart w:id="40"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Based on the analysis, the significant emission hotspots for kkhgprdyiw are identified as:</w:t>
      </w:r>
    </w:p>
    <w:bookmarkStart w:id="35" w:name="hotspot1"/>
    <w:bookmarkEnd w:id="35"/>
    <w:bookmarkStart w:id="36" w:name="hotspot2"/>
    <w:bookmarkEnd w:id="36"/>
    <w:bookmarkStart w:id="37" w:name="hotspot3"/>
    <w:bookmarkEnd w:id="37"/>
    <w:bookmarkEnd w:id="38"/>
    <w:bookmarkStart w:id="39" w:name="reliability-and-recommendations"/>
    <w:p>
      <w:pPr>
        <w:pStyle w:val="Heading3"/>
      </w:pPr>
      <w:r>
        <w:t xml:space="preserve">Reliability and Recommendations</w:t>
      </w:r>
    </w:p>
    <w:p>
      <w:pPr>
        <w:pStyle w:val="FirstParagraph"/>
      </w:pPr>
      <w:r>
        <w:t xml:space="preserve">The reliability of this PCF analysis is contingent upon the accuracy of the provided primary data and the representativeness of the selected secondary emission factors. While efforts were made to use relevant and up-to-date industry averages, higher accuracy could be achieved with more granular, supplier-specific data for material production and transport, as well as real-world energy consumption data from the use phase.</w:t>
      </w:r>
    </w:p>
    <w:p>
      <w:pPr>
        <w:pStyle w:val="BodyText"/>
      </w:pPr>
      <w:r>
        <w:t xml:space="preserve">Recommendations for wyvhthqslq:</w:t>
      </w:r>
    </w:p>
    <w:p>
      <w:pPr>
        <w:numPr>
          <w:ilvl w:val="0"/>
          <w:numId w:val="1009"/>
        </w:numPr>
        <w:pStyle w:val="Compact"/>
      </w:pPr>
      <w:r>
        <w:rPr>
          <w:bCs/>
          <w:b/>
        </w:rPr>
        <w:t xml:space="preserve">Supplier Engagement:</w:t>
      </w:r>
      <w:r>
        <w:t xml:space="preserve"> </w:t>
      </w:r>
      <w:r>
        <w:t xml:space="preserve">Collaborate with material suppliers to obtain primary emission data for purchased goods and services (Scope 3, Category 1) to refine the accuracy of the upstream footprint.</w:t>
      </w:r>
    </w:p>
    <w:p>
      <w:pPr>
        <w:numPr>
          <w:ilvl w:val="0"/>
          <w:numId w:val="1009"/>
        </w:numPr>
        <w:pStyle w:val="Compact"/>
      </w:pPr>
      <w:r>
        <w:rPr>
          <w:bCs/>
          <w:b/>
        </w:rPr>
        <w:t xml:space="preserve">Renewable Energy Expansion:</w:t>
      </w:r>
      <w:r>
        <w:t xml:space="preserve"> </w:t>
      </w:r>
      <w:r>
        <w:t xml:space="preserve">Explore opportunities to further increase renewable energy usage in production facilities, beyond the current refpyjsrqn. This directly reduces Scope 2 emissions.</w:t>
      </w:r>
    </w:p>
    <w:p>
      <w:pPr>
        <w:numPr>
          <w:ilvl w:val="0"/>
          <w:numId w:val="1009"/>
        </w:numPr>
        <w:pStyle w:val="Compact"/>
      </w:pPr>
      <w:r>
        <w:rPr>
          <w:bCs/>
          <w:b/>
        </w:rPr>
        <w:t xml:space="preserve">Logistics Optimization:</w:t>
      </w:r>
      <w:r>
        <w:t xml:space="preserve"> </w:t>
      </w:r>
      <w:r>
        <w:t xml:space="preserve">Investigate more efficient transport modes and routes, especially for the \'Select Mode\' and \'Delivery Type\' legs. Optimizing load factors and exploring electric vehicles for last-mile delivery can significantly reduce Scope 3, Category 9 emissions.</w:t>
      </w:r>
    </w:p>
    <w:p>
      <w:pPr>
        <w:numPr>
          <w:ilvl w:val="0"/>
          <w:numId w:val="1009"/>
        </w:numPr>
        <w:pStyle w:val="Compact"/>
      </w:pPr>
      <w:r>
        <w:rPr>
          <w:bCs/>
          <w:b/>
        </w:rPr>
        <w:t xml:space="preserve">Product Design for Circularity:</w:t>
      </w:r>
      <w:r>
        <w:t xml:space="preserve"> </w:t>
      </w:r>
      <w:r>
        <w:t xml:space="preserve">Given the circular programs (vlzmmliimv) and recyclability (gwkgdyvvsk), further embed circular design principles to enhance durability, repairability, and ease of recycling. This can lead to greater avoided emissions at End-of-Life.</w:t>
      </w:r>
    </w:p>
    <w:p>
      <w:pPr>
        <w:numPr>
          <w:ilvl w:val="0"/>
          <w:numId w:val="1009"/>
        </w:numPr>
        <w:pStyle w:val="Compact"/>
      </w:pPr>
      <w:r>
        <w:rPr>
          <w:bCs/>
          <w:b/>
        </w:rPr>
        <w:t xml:space="preserve">Customer Education:</w:t>
      </w:r>
      <w:r>
        <w:t xml:space="preserve"> </w:t>
      </w:r>
      <w:r>
        <w:t xml:space="preserve">Provide clearer guidance to customers on efficient product use and proper end-of-life disposal/take-back procedures to minimize use phase and EoL emissions.</w:t>
      </w:r>
    </w:p>
    <w:p>
      <w:pPr>
        <w:numPr>
          <w:ilvl w:val="0"/>
          <w:numId w:val="1009"/>
        </w:numPr>
        <w:pStyle w:val="Compact"/>
      </w:pPr>
      <w:r>
        <w:rPr>
          <w:bCs/>
          <w:b/>
        </w:rPr>
        <w:t xml:space="preserve">LSR Standard Preparedness:</w:t>
      </w:r>
      <w:r>
        <w:t xml:space="preserve"> </w:t>
      </w:r>
      <w:r>
        <w:t xml:space="preserve">As the LSR Standard takes effect soon, assess its applicability to wyvhthqslq\'s wider supply chain, particularly if agricultural or land-intensive raw materials are involved.</w:t>
      </w:r>
    </w:p>
    <w:bookmarkEnd w:id="39"/>
    <w:bookmarkEnd w:id="40"/>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kkhgprdyiw</dc:title>
  <dc:creator/>
  <dc:description>Detailed Product Carbon Footprint (PCF) analysis for kkhgprdyiw by pdjfunswpf, Senior Sustainability Consultant at wyvhthqslq, adhering to GHG Protocol and 2026 LSR Update.</dc:description>
  <dc:language>en</dc:language>
  <cp:keywords/>
  <dcterms:created xsi:type="dcterms:W3CDTF">2026-07-15T06:26:36Z</dcterms:created>
  <dcterms:modified xsi:type="dcterms:W3CDTF">2026-07-15T06:26:36Z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