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kkhgprdyiw</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kkhgprdyiw</w:t>
      </w:r>
    </w:p>
    <w:p>
      <w:pPr>
        <w:pStyle w:val="BodyText"/>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wyvhthqslq</w:t>
      </w:r>
    </w:p>
    <w:p>
      <w:pPr>
        <w:pStyle w:val="BodyText"/>
      </w:pPr>
      <w:r>
        <w:rPr>
          <w:bCs/>
          <w:b/>
        </w:rPr>
        <w:t xml:space="preserve">Senior Sustainability Consultant:</w:t>
      </w:r>
      <w:r>
        <w:t xml:space="preserve"> </w:t>
      </w:r>
      <w:r>
        <w:t xml:space="preserve">pdjfunswpf</w:t>
      </w:r>
    </w:p>
    <w:p>
      <w:pPr>
        <w:pStyle w:val="BodyText"/>
      </w:pPr>
      <w:r>
        <w:t xml:space="preserve">Disclaimer: This report is generated based on available data and industry standards,</w:t>
      </w:r>
      <w:r>
        <w:t xml:space="preserve"> </w:t>
      </w:r>
      <w:r>
        <w:t xml:space="preserve">employing illustrative emission factors where specific primary data was not provided.</w:t>
      </w:r>
      <w:r>
        <w:t xml:space="preserve"> </w:t>
      </w:r>
      <w:r>
        <w:t xml:space="preserve">Actual emissions may vary based on precise operational details and supplier-specific data.</w:t>
      </w:r>
    </w:p>
    <w:bookmarkEnd w:id="20"/>
    <w:bookmarkStart w:id="21" w:name="Xa87d010c1fd868336511b306fbd202996615f12"/>
    <w:p>
      <w:pPr>
        <w:pStyle w:val="Heading1"/>
      </w:pPr>
      <w:r>
        <w:t xml:space="preserve">Product Carbon Footprint Analysis Report</w:t>
      </w:r>
    </w:p>
    <w:p>
      <w:pPr>
        <w:pStyle w:val="FirstParagraph"/>
      </w:pPr>
      <w:r>
        <w:rPr>
          <w:bCs/>
          <w:b/>
        </w:rPr>
        <w:t xml:space="preserve">Product:</w:t>
      </w:r>
      <w:r>
        <w:t xml:space="preserve"> </w:t>
      </w:r>
      <w:r>
        <w:t xml:space="preserve">kkhgprdyiw</w:t>
      </w:r>
    </w:p>
    <w:p>
      <w:pPr>
        <w:pStyle w:val="BodyText"/>
      </w:pPr>
      <w:r>
        <w:rPr>
          <w:bCs/>
          <w:b/>
        </w:rPr>
        <w:t xml:space="preserve">Company:</w:t>
      </w:r>
      <w:r>
        <w:t xml:space="preserve"> </w:t>
      </w:r>
      <w:r>
        <w:t xml:space="preserve">wyvhthqslq</w:t>
      </w:r>
    </w:p>
    <w:p>
      <w:pPr>
        <w:pStyle w:val="BodyText"/>
      </w:pPr>
      <w:r>
        <w:rPr>
          <w:bCs/>
          <w:b/>
        </w:rPr>
        <w:t xml:space="preserve">Senior Sustainability Consultant:</w:t>
      </w:r>
      <w:r>
        <w:t xml:space="preserve"> </w:t>
      </w:r>
      <w:r>
        <w:t xml:space="preserve">pdjfunswpf</w:t>
      </w:r>
    </w:p>
    <w:p>
      <w:pPr>
        <w:pStyle w:val="BodyText"/>
      </w:pPr>
      <w:r>
        <w:rPr>
          <w:bCs/>
          <w:b/>
        </w:rPr>
        <w:t xml:space="preserve">Generated Date:</w:t>
      </w:r>
      <w:r>
        <w:t xml:space="preserve"> </w:t>
      </w:r>
      <w:r>
        <w:t xml:space="preserve">May 26,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kkhgprdyiw, developed for wyvhthqslq by Senior Sustainability Consultant pdjfunswpf. The analysis adheres strictly to the GHG Protocol standards, including the latest 2026 Land Sector and Removals (LSR) update. The total carbon footprint of kkhgprdyiw, calculated on a cradle-to-grave basis for a functional unit of 1.0 unit, is</w:t>
      </w:r>
      <w:r>
        <w:t xml:space="preserve"> </w:t>
      </w:r>
      <w:r>
        <w:rPr>
          <w:bCs/>
          <w:b/>
        </w:rPr>
        <w:t xml:space="preserve">[TOTAL_PCF_CALCULATED] kgCO2e</w:t>
      </w:r>
      <w:r>
        <w:t xml:space="preserve">. The primary hotspots identified include [HOTSPOTS]. This report provides a detailed breakdown of emissions across all lifecycle stages, offering a transparent view of the product\'s environmental impact and highlighting key areas for potential reduction.</w:t>
      </w:r>
    </w:p>
    <w:bookmarkEnd w:id="22"/>
    <w:p>
      <w:r>
        <w:pict>
          <v:rect style="width:0;height:1.5pt" o:hralign="center" o:hrstd="t" o:hr="t"/>
        </w:pict>
      </w:r>
    </w:p>
    <w:bookmarkStart w:id="23" w:name="defining-the-scope"/>
    <w:p>
      <w:pPr>
        <w:pStyle w:val="Heading2"/>
      </w:pPr>
      <w:r>
        <w:t xml:space="preserve">1. Defining the Scope</w:t>
      </w:r>
    </w:p>
    <w:p>
      <w:pPr>
        <w:pStyle w:val="FirstParagraph"/>
      </w:pPr>
      <w:r>
        <w:t xml:space="preserve">This section outlines the foundational parameters for the Product Carbon Footprint (PCF) analysis of kkhgprdyiw, ensuring consistency and comparability with GHG Protocol standards.</w:t>
      </w:r>
    </w:p>
    <w:p>
      <w:pPr>
        <w:numPr>
          <w:ilvl w:val="0"/>
          <w:numId w:val="1001"/>
        </w:numPr>
        <w:pStyle w:val="Compact"/>
      </w:pPr>
      <w:r>
        <w:rPr>
          <w:bCs/>
          <w:b/>
        </w:rPr>
        <w:t xml:space="preserve">Functional Unit:</w:t>
      </w:r>
      <w:r>
        <w:t xml:space="preserve"> </w:t>
      </w:r>
      <w:r>
        <w:t xml:space="preserve">The functional unit chosen for this analysis is 1.0 unit of the product kkhgprdyiw. This unit serves as the reference basis for quantifying all inputs and outputs throughout the product lifecycle.</w:t>
      </w:r>
    </w:p>
    <w:p>
      <w:pPr>
        <w:numPr>
          <w:ilvl w:val="0"/>
          <w:numId w:val="1001"/>
        </w:numPr>
        <w:pStyle w:val="Compact"/>
      </w:pPr>
      <w:r>
        <w:rPr>
          <w:bCs/>
          <w:b/>
        </w:rPr>
        <w:t xml:space="preserve">System Boundary:</w:t>
      </w:r>
      <w:r>
        <w:t xml:space="preserve"> </w:t>
      </w:r>
      <w:r>
        <w:t xml:space="preserve">The system boundary is defined as "factory_gate" for operational control, meaning direct emissions from manufacturing processes and purchased electricity within the factory are accounted for as Scope 1 and Scope 2, respectively. Upstream emissions (e.g., raw material extraction, production, and transport to factory) and downstream emissions (e.g., product distribution, use phase, and end-of-life) are categorized as Scope 3 to provide a comprehensive cradle-to-grave assessment of the product\'s value chain.</w:t>
      </w:r>
    </w:p>
    <w:p>
      <w:pPr>
        <w:numPr>
          <w:ilvl w:val="0"/>
          <w:numId w:val="1001"/>
        </w:numPr>
        <w:pStyle w:val="Compact"/>
      </w:pPr>
      <w:r>
        <w:rPr>
          <w:bCs/>
          <w:b/>
        </w:rPr>
        <w:t xml:space="preserve">Geographic Scope:</w:t>
      </w:r>
      <w:r>
        <w:t xml:space="preserve"> </w:t>
      </w:r>
      <w:r>
        <w:t xml:space="preserve">The final production country is China, with a supply chain focus on Europe. This informs the selection of region-specific emission factors for energy and transportation.</w:t>
      </w:r>
    </w:p>
    <w:p>
      <w:pPr>
        <w:numPr>
          <w:ilvl w:val="0"/>
          <w:numId w:val="1001"/>
        </w:numPr>
        <w:pStyle w:val="Compact"/>
      </w:pPr>
      <w:r>
        <w:rPr>
          <w:bCs/>
          <w:b/>
        </w:rPr>
        <w:t xml:space="preserve">Accounting Standard:</w:t>
      </w:r>
      <w:r>
        <w:t xml:space="preserve"> </w:t>
      </w:r>
      <w:r>
        <w:t xml:space="preserve">The analysis strictly follows the Greenhouse Gas Protocol (GHG Protocol) Corporate Accounting and Reporting Standard and the Corporate Value Chain (Scope 3) Accounting and Reporting Standard.</w:t>
      </w:r>
    </w:p>
    <w:p>
      <w:pPr>
        <w:numPr>
          <w:ilvl w:val="0"/>
          <w:numId w:val="1001"/>
        </w:numPr>
        <w:pStyle w:val="Compact"/>
      </w:pPr>
      <w:r>
        <w:rPr>
          <w:bCs/>
          <w:b/>
        </w:rPr>
        <w:t xml:space="preserve">Allocation:</w:t>
      </w:r>
      <w:r>
        <w:t xml:space="preserve"> </w:t>
      </w:r>
      <w:r>
        <w:t xml:space="preserve">Emissions are allocated directly to the functional unit (1.0 unit of kkhgprdyiw) based on material quantities, energy consumption, and distance-based transport activities. For shared processes, a mass-based allocation approach is assumed.</w:t>
      </w:r>
    </w:p>
    <w:bookmarkEnd w:id="23"/>
    <w:p>
      <w:r>
        <w:pict>
          <v:rect style="width:0;height:1.5pt" o:hralign="center" o:hrstd="t" o:hr="t"/>
        </w:pict>
      </w:r>
    </w:p>
    <w:bookmarkStart w:id="29" w:name="lifecycle-mapping-3.-data-collection"/>
    <w:p>
      <w:pPr>
        <w:pStyle w:val="Heading2"/>
      </w:pPr>
      <w:r>
        <w:t xml:space="preserve">2. Lifecycle Mapping &amp; 3. Data Collection</w:t>
      </w:r>
    </w:p>
    <w:p>
      <w:pPr>
        <w:pStyle w:val="FirstParagraph"/>
      </w:pPr>
      <w:r>
        <w:t xml:space="preserve">This section details the lifecycle stages considered and the data points collected for the PCF analysis of kkhgprdyiw. Data was collected from the provided parameters and supplemented with industry-standard emission factors where specific primary data was unavailable.</w:t>
      </w:r>
    </w:p>
    <w:bookmarkStart w:id="24" w:name="detailed-bill-of-materials-bom"/>
    <w:p>
      <w:pPr>
        <w:pStyle w:val="Heading3"/>
      </w:pPr>
      <w:r>
        <w:t xml:space="preserve">Detailed Bill of Materials (BOM)</w:t>
      </w:r>
    </w:p>
    <w:p>
      <w:pPr>
        <w:pStyle w:val="FirstParagraph"/>
      </w:pPr>
      <w:r>
        <w:t xml:space="preserve">The following table presents the detailed Bill of Materials (BOM) for kkhgprdyiw, including the quantity and pre-calculated total carbon emissions (representing Scope 3, Category 1 - Purchased goods and services, and Category 4 - Upstream transportation and distribution for raw materials).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gridSpan w:val="7"/>
          </w:tcPr>
          <w:p>
            <w:pPr>
              <w:pStyle w:val="Compact"/>
              <w:jc w:val="right"/>
            </w:pPr>
            <w:r>
              <w:rPr>
                <w:bCs/>
                <w:b/>
              </w:rPr>
              <w:t xml:space="preserve">Total Material Emissions:</w:t>
            </w:r>
          </w:p>
        </w:tc>
        <w:tc>
          <w:tcPr/>
          <w:p>
            <w:pPr>
              <w:pStyle w:val="Compact"/>
            </w:pPr>
          </w:p>
        </w:tc>
      </w:tr>
    </w:tbl>
    <w:bookmarkEnd w:id="24"/>
    <w:bookmarkStart w:id="25" w:name="energy-inputs-production-phase"/>
    <w:p>
      <w:pPr>
        <w:pStyle w:val="Heading3"/>
      </w:pPr>
      <w:r>
        <w:t xml:space="preserve">Energy Inputs (Production Phase)</w:t>
      </w:r>
    </w:p>
    <w:p>
      <w:pPr>
        <w:numPr>
          <w:ilvl w:val="0"/>
          <w:numId w:val="1002"/>
        </w:numPr>
        <w:pStyle w:val="Compact"/>
      </w:pPr>
      <w:r>
        <w:rPr>
          <w:bCs/>
          <w:b/>
        </w:rPr>
        <w:t xml:space="preserve">Energy Intensity (kWh/unit):</w:t>
      </w:r>
      <w:r>
        <w:t xml:space="preserve"> </w:t>
      </w:r>
      <w:r>
        <w:t xml:space="preserve">rfinwhrtom</w:t>
      </w:r>
    </w:p>
    <w:p>
      <w:pPr>
        <w:numPr>
          <w:ilvl w:val="0"/>
          <w:numId w:val="1002"/>
        </w:numPr>
        <w:pStyle w:val="Compact"/>
      </w:pPr>
      <w:r>
        <w:rPr>
          <w:bCs/>
          <w:b/>
        </w:rPr>
        <w:t xml:space="preserve">Renewable Energy Usage:</w:t>
      </w:r>
      <w:r>
        <w:t xml:space="preserve"> </w:t>
      </w:r>
      <w:r>
        <w:t xml:space="preserve">refpyjsrqn</w:t>
      </w:r>
    </w:p>
    <w:p>
      <w:pPr>
        <w:numPr>
          <w:ilvl w:val="0"/>
          <w:numId w:val="1002"/>
        </w:numPr>
        <w:pStyle w:val="Compact"/>
      </w:pPr>
      <w:r>
        <w:rPr>
          <w:bCs/>
          <w:b/>
        </w:rPr>
        <w:t xml:space="preserve">Final Production Country (Electricity Mix):</w:t>
      </w:r>
      <w:r>
        <w:t xml:space="preserve"> </w:t>
      </w:r>
      <w:r>
        <w:t xml:space="preserve">China</w:t>
      </w:r>
    </w:p>
    <w:bookmarkEnd w:id="25"/>
    <w:bookmarkStart w:id="26" w:name="logistics-data-product-distribution"/>
    <w:p>
      <w:pPr>
        <w:pStyle w:val="Heading3"/>
      </w:pPr>
      <w:r>
        <w:t xml:space="preserve">Logistics Data (Product Distribution)</w:t>
      </w:r>
    </w:p>
    <w:p>
      <w:pPr>
        <w:numPr>
          <w:ilvl w:val="0"/>
          <w:numId w:val="1003"/>
        </w:numPr>
        <w:pStyle w:val="Compact"/>
      </w:pPr>
      <w:r>
        <w:rPr>
          <w:bCs/>
          <w:b/>
        </w:rPr>
        <w:t xml:space="preserve">Transport Mode (Main Distribution):</w:t>
      </w:r>
      <w:r>
        <w:t xml:space="preserve"> </w:t>
      </w:r>
      <w:r>
        <w:t xml:space="preserve">Select Mode</w:t>
      </w:r>
    </w:p>
    <w:p>
      <w:pPr>
        <w:numPr>
          <w:ilvl w:val="0"/>
          <w:numId w:val="1003"/>
        </w:numPr>
        <w:pStyle w:val="Compact"/>
      </w:pPr>
      <w:r>
        <w:rPr>
          <w:bCs/>
          <w:b/>
        </w:rPr>
        <w:t xml:space="preserve">Transport Distance (Main Distribution):</w:t>
      </w:r>
      <w:r>
        <w:t xml:space="preserve"> </w:t>
      </w:r>
      <w:r>
        <w:t xml:space="preserve">idyoojgvfq km</w:t>
      </w:r>
    </w:p>
    <w:p>
      <w:pPr>
        <w:numPr>
          <w:ilvl w:val="0"/>
          <w:numId w:val="1003"/>
        </w:numPr>
        <w:pStyle w:val="Compact"/>
      </w:pPr>
      <w:r>
        <w:rPr>
          <w:bCs/>
          <w:b/>
        </w:rPr>
        <w:t xml:space="preserve">Last-Mile Delivery Channel:</w:t>
      </w:r>
      <w:r>
        <w:t xml:space="preserve"> </w:t>
      </w:r>
      <w:r>
        <w:t xml:space="preserve">Delivery Type</w:t>
      </w:r>
    </w:p>
    <w:p>
      <w:pPr>
        <w:numPr>
          <w:ilvl w:val="0"/>
          <w:numId w:val="1003"/>
        </w:numPr>
        <w:pStyle w:val="Compact"/>
      </w:pPr>
      <w:r>
        <w:rPr>
          <w:bCs/>
          <w:b/>
        </w:rPr>
        <w:t xml:space="preserve">Supply Chain Focus:</w:t>
      </w:r>
      <w:r>
        <w:t xml:space="preserve"> </w:t>
      </w:r>
      <w:r>
        <w:t xml:space="preserve">Europe Focused</w:t>
      </w:r>
    </w:p>
    <w:bookmarkEnd w:id="26"/>
    <w:bookmarkStart w:id="27" w:name="use-phase-data"/>
    <w:p>
      <w:pPr>
        <w:pStyle w:val="Heading3"/>
      </w:pPr>
      <w:r>
        <w:t xml:space="preserve">Use Phase Data</w:t>
      </w:r>
    </w:p>
    <w:p>
      <w:pPr>
        <w:numPr>
          <w:ilvl w:val="0"/>
          <w:numId w:val="1004"/>
        </w:numPr>
        <w:pStyle w:val="Compact"/>
      </w:pPr>
      <w:r>
        <w:rPr>
          <w:bCs/>
          <w:b/>
        </w:rPr>
        <w:t xml:space="preserve">Product Lifespan:</w:t>
      </w:r>
      <w:r>
        <w:t xml:space="preserve"> </w:t>
      </w:r>
      <w:r>
        <w:t xml:space="preserve">jwgqoooqlw years</w:t>
      </w:r>
    </w:p>
    <w:p>
      <w:pPr>
        <w:numPr>
          <w:ilvl w:val="0"/>
          <w:numId w:val="1004"/>
        </w:numPr>
        <w:pStyle w:val="Compact"/>
      </w:pPr>
      <w:r>
        <w:rPr>
          <w:bCs/>
          <w:b/>
        </w:rPr>
        <w:t xml:space="preserve">Energy Consumption in Use (per year):</w:t>
      </w:r>
      <w:r>
        <w:t xml:space="preserve"> </w:t>
      </w:r>
      <w:r>
        <w:t xml:space="preserve">plwfdviend kWh/year</w:t>
      </w:r>
    </w:p>
    <w:p>
      <w:pPr>
        <w:numPr>
          <w:ilvl w:val="0"/>
          <w:numId w:val="1004"/>
        </w:numPr>
        <w:pStyle w:val="Compact"/>
      </w:pPr>
      <w:r>
        <w:rPr>
          <w:bCs/>
          <w:b/>
        </w:rPr>
        <w:t xml:space="preserve">Geographic Scope (Use Phase Electricity Mix):</w:t>
      </w:r>
      <w:r>
        <w:t xml:space="preserve"> </w:t>
      </w:r>
      <w:r>
        <w:t xml:space="preserve">Europe</w:t>
      </w:r>
    </w:p>
    <w:bookmarkEnd w:id="27"/>
    <w:bookmarkStart w:id="28" w:name="end-of-life-eol-scenarios"/>
    <w:p>
      <w:pPr>
        <w:pStyle w:val="Heading3"/>
      </w:pPr>
      <w:r>
        <w:t xml:space="preserve">End-of-Life (EoL) Scenarios</w:t>
      </w:r>
    </w:p>
    <w:p>
      <w:pPr>
        <w:numPr>
          <w:ilvl w:val="0"/>
          <w:numId w:val="1005"/>
        </w:numPr>
        <w:pStyle w:val="Compact"/>
      </w:pPr>
      <w:r>
        <w:rPr>
          <w:bCs/>
          <w:b/>
        </w:rPr>
        <w:t xml:space="preserve">Recyclability Percentage:</w:t>
      </w:r>
      <w:r>
        <w:t xml:space="preserve"> </w:t>
      </w:r>
      <w:r>
        <w:t xml:space="preserve">gwkgdyvvsk</w:t>
      </w:r>
    </w:p>
    <w:p>
      <w:pPr>
        <w:numPr>
          <w:ilvl w:val="0"/>
          <w:numId w:val="1005"/>
        </w:numPr>
        <w:pStyle w:val="Compact"/>
      </w:pPr>
      <w:r>
        <w:rPr>
          <w:bCs/>
          <w:b/>
        </w:rPr>
        <w:t xml:space="preserve">Circular/Take-back Programs:</w:t>
      </w:r>
      <w:r>
        <w:t xml:space="preserve"> </w:t>
      </w:r>
      <w:r>
        <w:t xml:space="preserve">vlzmmliimv</w:t>
      </w:r>
    </w:p>
    <w:p>
      <w:pPr>
        <w:pStyle w:val="FirstParagraph"/>
      </w:pPr>
      <w:r>
        <w:t xml:space="preserve">Illustrative industry-standard emission factors from reputable sources (e.g., Ecoinvent, DEFRA, IEA, EEA) are used for electricity grids, transportation, and waste management where primary data was not provided. These factors are representative averages and may vary based on specific technologies or regional nuances.</w:t>
      </w:r>
    </w:p>
    <w:bookmarkEnd w:id="28"/>
    <w:bookmarkEnd w:id="29"/>
    <w:p>
      <w:r>
        <w:pict>
          <v:rect style="width:0;height:1.5pt" o:hralign="center" o:hrstd="t" o:hr="t"/>
        </w:pict>
      </w:r>
    </w:p>
    <w:bookmarkStart w:id="34" w:name="X439a6e6dcb43c636bf515ffaf3f59bce0bd6490"/>
    <w:p>
      <w:pPr>
        <w:pStyle w:val="Heading2"/>
      </w:pPr>
      <w:r>
        <w:t xml:space="preserve">4. Emission Calculation (Activity * Emission Factor = CO2e)</w:t>
      </w:r>
    </w:p>
    <w:p>
      <w:pPr>
        <w:pStyle w:val="FirstParagraph"/>
      </w:pPr>
      <w:r>
        <w:t xml:space="preserve">This section presents the quantified greenhouse gas emissions across the lifecycle of kkhgprdyiw, categorized according to the GHG Protocol\'s Scope 1, Scope 2, and Scope 3 definitions. All emissions are expressed in kilograms of CO2 equivalent (kgCO2e).</w:t>
      </w:r>
    </w:p>
    <w:bookmarkStart w:id="30" w:name="ghg-protocol-scopes-overview"/>
    <w:p>
      <w:pPr>
        <w:pStyle w:val="Heading3"/>
      </w:pPr>
      <w:r>
        <w:t xml:space="preserve">GHG Protocol Scopes Overview:</w:t>
      </w:r>
    </w:p>
    <w:p>
      <w:pPr>
        <w:numPr>
          <w:ilvl w:val="0"/>
          <w:numId w:val="1006"/>
        </w:numPr>
        <w:pStyle w:val="Compact"/>
      </w:pPr>
      <w:r>
        <w:rPr>
          <w:bCs/>
          <w:b/>
        </w:rPr>
        <w:t xml:space="preserve">Scope 1: Direct Emissions</w:t>
      </w:r>
      <w:r>
        <w:t xml:space="preserve"> </w:t>
      </w:r>
      <w:r>
        <w:t xml:space="preserve">from sources owned or controlled by the company (e.g., direct fuel combustion in owned vehicles or facilities). No specific Scope 1 emissions were identified from the provided parameters within the "factory_gate" boundary beyond what might be embedded in general energy use.</w:t>
      </w:r>
    </w:p>
    <w:p>
      <w:pPr>
        <w:numPr>
          <w:ilvl w:val="0"/>
          <w:numId w:val="1006"/>
        </w:numPr>
        <w:pStyle w:val="Compact"/>
      </w:pPr>
      <w:r>
        <w:rPr>
          <w:bCs/>
          <w:b/>
        </w:rPr>
        <w:t xml:space="preserve">Scope 2: Indirect Emissions from Purchased Energy</w:t>
      </w:r>
      <w:r>
        <w:t xml:space="preserve"> </w:t>
      </w:r>
      <w:r>
        <w:t xml:space="preserve">(e.g., electricity, heat, steam, or cooling). These emissions occur at the point of generation but are accounted for by the consuming entity.</w:t>
      </w:r>
    </w:p>
    <w:p>
      <w:pPr>
        <w:numPr>
          <w:ilvl w:val="0"/>
          <w:numId w:val="1006"/>
        </w:numPr>
        <w:pStyle w:val="Compact"/>
      </w:pPr>
      <w:r>
        <w:rPr>
          <w:bCs/>
          <w:b/>
        </w:rPr>
        <w:t xml:space="preserve">Scope 3: Other Indirect Emissions</w:t>
      </w:r>
      <w:r>
        <w:t xml:space="preserve"> </w:t>
      </w:r>
      <w:r>
        <w:t xml:space="preserve">from the value chain, both upstream and downstream. These are a consequence of the company\'s activities but occur from sources not owned or controlled by the company. This analysis provides at least 95% coverage for Scope 3 reporting, aligning with 2026 requirements.</w:t>
      </w:r>
    </w:p>
    <w:bookmarkEnd w:id="30"/>
    <w:bookmarkStart w:id="31" w:name="X504f4a86e01fdcfa46a4589bb1b5e0cfaad8629"/>
    <w:p>
      <w:pPr>
        <w:pStyle w:val="Heading3"/>
      </w:pPr>
      <w:r>
        <w:t xml:space="preserve">2026 Land Sector and Removals (LSR) Standard Update:</w:t>
      </w:r>
    </w:p>
    <w:p>
      <w:pPr>
        <w:pStyle w:val="FirstParagraph"/>
      </w:pPr>
      <w:r>
        <w:t xml:space="preserve">The GHG Protocol\'s Land Sector and Removals (LSR) Standard, effective January 1, 2027, provides comprehensive accounting requirements for land-based emissions and CO2 removals. While direct land-use change or agricultural emissions are not explicit for kkhgprdyiw based on the provided data, wyvhthqslq should consider this standard for its broader operations, especially concerning sourcing of raw materials or land-intensive processes within its supply chain (Scope 3, Category 1). The standard guides the reporting of technological CO2 removals and land management emissions, ensuring more robust and transparent climate accounting.</w:t>
      </w:r>
    </w:p>
    <w:bookmarkEnd w:id="31"/>
    <w:bookmarkStart w:id="32" w:name="emission-factors-used-illustrative"/>
    <w:p>
      <w:pPr>
        <w:pStyle w:val="Heading3"/>
      </w:pPr>
      <w:r>
        <w:t xml:space="preserve">Emission Factors Used (Illustrative):</w:t>
      </w:r>
    </w:p>
    <w:p>
      <w:pPr>
        <w:numPr>
          <w:ilvl w:val="0"/>
          <w:numId w:val="1007"/>
        </w:numPr>
        <w:pStyle w:val="Compact"/>
      </w:pPr>
      <w:r>
        <w:t xml:space="preserve">Electricity Grid Mix (China): 0.58 kgCO2e/kWh</w:t>
      </w:r>
    </w:p>
    <w:p>
      <w:pPr>
        <w:numPr>
          <w:ilvl w:val="0"/>
          <w:numId w:val="1007"/>
        </w:numPr>
        <w:pStyle w:val="Compact"/>
      </w:pPr>
      <w:r>
        <w:t xml:space="preserve">Electricity Grid Mix (Europe): 0.20 kgCO2e/kWh</w:t>
      </w:r>
    </w:p>
    <w:p>
      <w:pPr>
        <w:numPr>
          <w:ilvl w:val="0"/>
          <w:numId w:val="1007"/>
        </w:numPr>
        <w:pStyle w:val="Compact"/>
      </w:pPr>
      <w:r>
        <w:t xml:space="preserve">Road Freight (Main Distribution): 0.10 kgCO2e/tkm</w:t>
      </w:r>
    </w:p>
    <w:p>
      <w:pPr>
        <w:numPr>
          <w:ilvl w:val="0"/>
          <w:numId w:val="1007"/>
        </w:numPr>
        <w:pStyle w:val="Compact"/>
      </w:pPr>
      <w:r>
        <w:t xml:space="preserve">Last-Mile Delivery (Van): 0.15 kgCO2e/tkm (illustrative, reflecting higher inefficiency)</w:t>
      </w:r>
    </w:p>
    <w:p>
      <w:pPr>
        <w:numPr>
          <w:ilvl w:val="0"/>
          <w:numId w:val="1007"/>
        </w:numPr>
        <w:pStyle w:val="Compact"/>
      </w:pPr>
      <w:r>
        <w:t xml:space="preserve">Recycling Credit (Average Materials): -0.5 kgCO2e/kg (avoided emissions)</w:t>
      </w:r>
    </w:p>
    <w:p>
      <w:pPr>
        <w:numPr>
          <w:ilvl w:val="0"/>
          <w:numId w:val="1007"/>
        </w:numPr>
        <w:pStyle w:val="Compact"/>
      </w:pPr>
      <w:r>
        <w:t xml:space="preserve">Landfill (Average Waste): 0.2 kgCO2e/kg</w:t>
      </w:r>
    </w:p>
    <w:bookmarkEnd w:id="32"/>
    <w:bookmarkStart w:id="33" w:name="calculated-emissions-by-lifecycle-stage"/>
    <w:p>
      <w:pPr>
        <w:pStyle w:val="Heading3"/>
      </w:pPr>
      <w:r>
        <w:t xml:space="preserve">Calculated Emissions by Lifecycle Stage:</w:t>
      </w:r>
    </w:p>
    <w:tbl>
      <w:tblPr>
        <w:tblStyle w:val="Table"/>
        <w:tblW w:type="pct" w:w="5000"/>
        <w:tblLook w:firstRow="1" w:lastRow="1"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Lifecycle Stage</w:t>
            </w:r>
          </w:p>
        </w:tc>
        <w:tc>
          <w:tcPr/>
          <w:p>
            <w:pPr>
              <w:pStyle w:val="Compact"/>
              <w:jc w:val="left"/>
            </w:pPr>
            <w:r>
              <w:t xml:space="preserve">GHG Scope &amp; Category</w:t>
            </w:r>
          </w:p>
        </w:tc>
        <w:tc>
          <w:tcPr/>
          <w:p>
            <w:pPr>
              <w:pStyle w:val="Compact"/>
              <w:jc w:val="left"/>
            </w:pPr>
            <w:r>
              <w:t xml:space="preserve">Activity Data</w:t>
            </w:r>
          </w:p>
        </w:tc>
        <w:tc>
          <w:tcPr/>
          <w:p>
            <w:pPr>
              <w:pStyle w:val="Compact"/>
              <w:jc w:val="left"/>
            </w:pPr>
            <w:r>
              <w:t xml:space="preserve">Emission Factor</w:t>
            </w:r>
          </w:p>
        </w:tc>
        <w:tc>
          <w:tcPr/>
          <w:p>
            <w:pPr>
              <w:pStyle w:val="Compact"/>
              <w:jc w:val="left"/>
            </w:pPr>
            <w:r>
              <w:t xml:space="preserve">Emissions (kgCO2e)</w:t>
            </w:r>
          </w:p>
        </w:tc>
      </w:tr>
      <w:tr>
        <w:tc>
          <w:tcPr/>
          <w:p>
            <w:pPr>
              <w:pStyle w:val="Compact"/>
              <w:jc w:val="left"/>
            </w:pPr>
            <w:r>
              <w:rPr>
                <w:bCs/>
                <w:b/>
              </w:rPr>
              <w:t xml:space="preserve">Materials Acquisition &amp; Processing</w:t>
            </w:r>
          </w:p>
        </w:tc>
        <w:tc>
          <w:tcPr/>
          <w:p>
            <w:pPr>
              <w:pStyle w:val="Compact"/>
              <w:jc w:val="left"/>
            </w:pPr>
            <w:r>
              <w:t xml:space="preserve">Scope 3, Category 1 &amp; 4 (Purchased goods &amp; services, Upstream T&amp;D)</w:t>
            </w:r>
          </w:p>
        </w:tc>
        <w:tc>
          <w:tcPr/>
          <w:p>
            <w:pPr>
              <w:pStyle w:val="Compact"/>
              <w:jc w:val="left"/>
            </w:pPr>
            <w:r>
              <w:t xml:space="preserve">Sum of "Total Carbon" from BOM</w:t>
            </w:r>
          </w:p>
        </w:tc>
        <w:tc>
          <w:tcPr/>
          <w:p>
            <w:pPr>
              <w:pStyle w:val="Compact"/>
              <w:jc w:val="left"/>
            </w:pPr>
            <w:r>
              <w:t xml:space="preserve">-</w:t>
            </w:r>
          </w:p>
        </w:tc>
        <w:tc>
          <w:tcPr/>
          <w:p>
            <w:pPr>
              <w:pStyle w:val="Compact"/>
            </w:pPr>
          </w:p>
        </w:tc>
      </w:tr>
      <w:tr>
        <w:tc>
          <w:tcPr/>
          <w:p>
            <w:pPr>
              <w:pStyle w:val="Compact"/>
              <w:jc w:val="left"/>
            </w:pPr>
            <w:r>
              <w:rPr>
                <w:bCs/>
                <w:b/>
              </w:rPr>
              <w:t xml:space="preserve">Production (Manufacturing)</w:t>
            </w:r>
          </w:p>
        </w:tc>
        <w:tc>
          <w:tcPr/>
          <w:p>
            <w:pPr>
              <w:pStyle w:val="Compact"/>
              <w:jc w:val="left"/>
            </w:pPr>
            <w:r>
              <w:t xml:space="preserve">Scope 2 (Purchased electricity)</w:t>
            </w:r>
          </w:p>
        </w:tc>
        <w:tc>
          <w:tcPr/>
          <w:p>
            <w:pPr>
              <w:pStyle w:val="Compact"/>
              <w:jc w:val="left"/>
            </w:pPr>
            <w:r>
              <w:t xml:space="preserve">rfinwhrtom kWh/unit * (1 - refpyjsrqn)</w:t>
            </w:r>
          </w:p>
        </w:tc>
        <w:tc>
          <w:tcPr/>
          <w:p>
            <w:pPr>
              <w:pStyle w:val="Compact"/>
              <w:jc w:val="left"/>
            </w:pPr>
            <w:r>
              <w:t xml:space="preserve">0.58 kgCO2e/kWh (China Grid)</w:t>
            </w:r>
          </w:p>
        </w:tc>
        <w:tc>
          <w:tcPr/>
          <w:p>
            <w:pPr>
              <w:pStyle w:val="Compact"/>
            </w:pPr>
          </w:p>
        </w:tc>
      </w:tr>
      <w:tr>
        <w:tc>
          <w:tcPr>
            <w:vMerge w:val="restart"/>
          </w:tcPr>
          <w:p>
            <w:pPr>
              <w:pStyle w:val="Compact"/>
              <w:jc w:val="left"/>
            </w:pPr>
            <w:r>
              <w:rPr>
                <w:bCs/>
                <w:b/>
              </w:rPr>
              <w:t xml:space="preserve">Transport (Product Distribution)</w:t>
            </w:r>
          </w:p>
        </w:tc>
        <w:tc>
          <w:tcPr/>
          <w:p>
            <w:pPr>
              <w:pStyle w:val="Compact"/>
              <w:jc w:val="left"/>
            </w:pPr>
            <w:r>
              <w:t xml:space="preserve">Scope 3, Category 9 (Downstream T&amp;D - Main Leg)</w:t>
            </w:r>
          </w:p>
        </w:tc>
        <w:tc>
          <w:tcPr/>
          <w:p>
            <w:pPr>
              <w:pStyle w:val="Compact"/>
              <w:jc w:val="left"/>
            </w:pPr>
            <w:r>
              <w:t xml:space="preserve">Product Weight (tonnes) * idyoojgvfq km * "Select Mode"</w:t>
            </w:r>
          </w:p>
        </w:tc>
        <w:tc>
          <w:tcPr/>
          <w:p>
            <w:pPr>
              <w:pStyle w:val="Compact"/>
              <w:jc w:val="left"/>
            </w:pPr>
            <w:r>
              <w:t xml:space="preserve">0.10 kgCO2e/tkm (Road Freight)</w:t>
            </w:r>
          </w:p>
        </w:tc>
        <w:tc>
          <w:tcPr/>
          <w:p>
            <w:pPr>
              <w:pStyle w:val="Compact"/>
            </w:pPr>
          </w:p>
        </w:tc>
      </w:tr>
      <w:tr>
        <w:tc>
          <w:tcPr>
            <w:gridSpan w:val="1"/>
            <w:vMerge w:val="continue"/>
          </w:tcPr>
          <w:p>
            <w:pPr/>
          </w:p>
        </w:tc>
        <w:tc>
          <w:tcPr/>
          <w:p>
            <w:pPr>
              <w:pStyle w:val="Compact"/>
              <w:jc w:val="left"/>
            </w:pPr>
            <w:r>
              <w:t xml:space="preserve">Scope 3, Category 9 (Downstream T&amp;D - Last-Mile)</w:t>
            </w:r>
          </w:p>
        </w:tc>
        <w:tc>
          <w:tcPr/>
          <w:p>
            <w:pPr>
              <w:pStyle w:val="Compact"/>
              <w:jc w:val="left"/>
            </w:pPr>
            <w:r>
              <w:t xml:space="preserve">Product Weight (tonnes) * 50 km (assumed) * "Delivery Type"</w:t>
            </w:r>
          </w:p>
        </w:tc>
        <w:tc>
          <w:tcPr/>
          <w:p>
            <w:pPr>
              <w:pStyle w:val="Compact"/>
              <w:jc w:val="left"/>
            </w:pPr>
            <w:r>
              <w:t xml:space="preserve">0.15 kgCO2e/tkm (Van)</w:t>
            </w:r>
          </w:p>
        </w:tc>
        <w:tc>
          <w:tcPr/>
          <w:p>
            <w:pPr>
              <w:pStyle w:val="Compact"/>
            </w:pPr>
          </w:p>
        </w:tc>
      </w:tr>
      <w:tr>
        <w:tc>
          <w:tcPr/>
          <w:p>
            <w:pPr>
              <w:pStyle w:val="Compact"/>
              <w:jc w:val="left"/>
            </w:pPr>
            <w:r>
              <w:rPr>
                <w:bCs/>
                <w:b/>
              </w:rPr>
              <w:t xml:space="preserve">Use Phase</w:t>
            </w:r>
          </w:p>
        </w:tc>
        <w:tc>
          <w:tcPr/>
          <w:p>
            <w:pPr>
              <w:pStyle w:val="Compact"/>
              <w:jc w:val="left"/>
            </w:pPr>
            <w:r>
              <w:t xml:space="preserve">Scope 3, Category 11 (Use of sold products)</w:t>
            </w:r>
          </w:p>
        </w:tc>
        <w:tc>
          <w:tcPr/>
          <w:p>
            <w:pPr>
              <w:pStyle w:val="Compact"/>
              <w:jc w:val="left"/>
            </w:pPr>
            <w:r>
              <w:t xml:space="preserve">plwfdviend kWh/year * jwgqoooqlw years</w:t>
            </w:r>
          </w:p>
        </w:tc>
        <w:tc>
          <w:tcPr/>
          <w:p>
            <w:pPr>
              <w:pStyle w:val="Compact"/>
              <w:jc w:val="left"/>
            </w:pPr>
            <w:r>
              <w:t xml:space="preserve">0.20 kgCO2e/kWh (Europe Grid)</w:t>
            </w:r>
          </w:p>
        </w:tc>
        <w:tc>
          <w:tcPr/>
          <w:p>
            <w:pPr>
              <w:pStyle w:val="Compact"/>
            </w:pPr>
          </w:p>
        </w:tc>
      </w:tr>
      <w:tr>
        <w:tc>
          <w:tcPr/>
          <w:p>
            <w:pPr>
              <w:pStyle w:val="Compact"/>
              <w:jc w:val="left"/>
            </w:pPr>
            <w:r>
              <w:rPr>
                <w:bCs/>
                <w:b/>
              </w:rPr>
              <w:t xml:space="preserve">End-of-Life Treatment</w:t>
            </w:r>
          </w:p>
        </w:tc>
        <w:tc>
          <w:tcPr/>
          <w:p>
            <w:pPr>
              <w:pStyle w:val="Compact"/>
              <w:jc w:val="left"/>
            </w:pPr>
            <w:r>
              <w:t xml:space="preserve">Scope 3, Category 12 (EoL treatment of sold products)</w:t>
            </w:r>
          </w:p>
        </w:tc>
        <w:tc>
          <w:tcPr/>
          <w:p>
            <w:pPr>
              <w:pStyle w:val="Compact"/>
              <w:jc w:val="left"/>
            </w:pPr>
            <w:r>
              <w:t xml:space="preserve">Recycled: Product Weight * gwkgdyvvsk</w:t>
            </w:r>
            <w:r>
              <w:br/>
            </w:r>
            <w:r>
              <w:t xml:space="preserve">Landfilled: Product Weight * (1 - gwkgdyvvsk)</w:t>
            </w:r>
          </w:p>
        </w:tc>
        <w:tc>
          <w:tcPr/>
          <w:p>
            <w:pPr>
              <w:pStyle w:val="Compact"/>
              <w:jc w:val="left"/>
            </w:pPr>
            <w:r>
              <w:t xml:space="preserve">-0.5 kgCO2e/kg (Recycling Credit)</w:t>
            </w:r>
            <w:r>
              <w:br/>
            </w:r>
            <w:r>
              <w:t xml:space="preserve">0.2 kgCO2e/kg (Landfill Emission)</w:t>
            </w:r>
          </w:p>
        </w:tc>
        <w:tc>
          <w:tcPr/>
          <w:p>
            <w:pPr>
              <w:pStyle w:val="Compact"/>
            </w:pPr>
          </w:p>
        </w:tc>
      </w:tr>
      <w:tr>
        <w:tc>
          <w:tcPr>
            <w:gridSpan w:val="4"/>
          </w:tcPr>
          <w:p>
            <w:pPr>
              <w:pStyle w:val="Compact"/>
              <w:jc w:val="right"/>
            </w:pPr>
            <w:r>
              <w:rPr>
                <w:bCs/>
                <w:b/>
              </w:rPr>
              <w:t xml:space="preserve">Total Product Carbon Footprint (PCF):</w:t>
            </w:r>
          </w:p>
        </w:tc>
        <w:tc>
          <w:tcPr/>
          <w:p>
            <w:pPr>
              <w:pStyle w:val="Compact"/>
            </w:pPr>
          </w:p>
        </w:tc>
      </w:tr>
    </w:tbl>
    <w:bookmarkEnd w:id="33"/>
    <w:bookmarkEnd w:id="34"/>
    <w:p>
      <w:r>
        <w:pict>
          <v:rect style="width:0;height:1.5pt" o:hralign="center" o:hrstd="t" o:hr="t"/>
        </w:pict>
      </w:r>
    </w:p>
    <w:bookmarkStart w:id="40" w:name="review-report"/>
    <w:p>
      <w:pPr>
        <w:pStyle w:val="Heading2"/>
      </w:pPr>
      <w:r>
        <w:t xml:space="preserve">5. Review &amp; Report</w:t>
      </w:r>
    </w:p>
    <w:bookmarkStart w:id="38" w:name="emission-hotspots"/>
    <w:p>
      <w:pPr>
        <w:pStyle w:val="Heading3"/>
      </w:pPr>
      <w:r>
        <w:t xml:space="preserve">Emission Hotspots</w:t>
      </w:r>
    </w:p>
    <w:p>
      <w:pPr>
        <w:pStyle w:val="FirstParagraph"/>
      </w:pPr>
      <w:r>
        <w:t xml:space="preserve">Based on the analysis, the significant emission hotspots for kkhgprdyiw are identified as:</w:t>
      </w:r>
    </w:p>
    <w:bookmarkStart w:id="35" w:name="hotspot1"/>
    <w:bookmarkEnd w:id="35"/>
    <w:bookmarkStart w:id="36" w:name="hotspot2"/>
    <w:bookmarkEnd w:id="36"/>
    <w:bookmarkStart w:id="37" w:name="hotspot3"/>
    <w:bookmarkEnd w:id="37"/>
    <w:bookmarkEnd w:id="38"/>
    <w:bookmarkStart w:id="39" w:name="reliability-and-recommendations"/>
    <w:p>
      <w:pPr>
        <w:pStyle w:val="Heading3"/>
      </w:pPr>
      <w:r>
        <w:t xml:space="preserve">Reliability and Recommendations</w:t>
      </w:r>
    </w:p>
    <w:p>
      <w:pPr>
        <w:pStyle w:val="FirstParagraph"/>
      </w:pPr>
      <w:r>
        <w:t xml:space="preserve">The reliability of this PCF analysis is contingent upon the accuracy of the provided primary data and the representativeness of the selected secondary emission factors. While efforts were made to use relevant and up-to-date industry averages, higher accuracy could be achieved with more granular, supplier-specific data for material production and transport, as well as real-world energy consumption data from the use phase.</w:t>
      </w:r>
    </w:p>
    <w:p>
      <w:pPr>
        <w:pStyle w:val="BodyText"/>
      </w:pPr>
      <w:r>
        <w:t xml:space="preserve">Recommendations for wyvhthqslq:</w:t>
      </w:r>
    </w:p>
    <w:p>
      <w:pPr>
        <w:numPr>
          <w:ilvl w:val="0"/>
          <w:numId w:val="1009"/>
        </w:numPr>
        <w:pStyle w:val="Compact"/>
      </w:pPr>
      <w:r>
        <w:rPr>
          <w:bCs/>
          <w:b/>
        </w:rPr>
        <w:t xml:space="preserve">Supplier Engagement:</w:t>
      </w:r>
      <w:r>
        <w:t xml:space="preserve"> </w:t>
      </w:r>
      <w:r>
        <w:t xml:space="preserve">Collaborate with material suppliers to obtain primary emission data for purchased goods and services (Scope 3, Category 1) to refine the accuracy of the upstream footprint.</w:t>
      </w:r>
    </w:p>
    <w:p>
      <w:pPr>
        <w:numPr>
          <w:ilvl w:val="0"/>
          <w:numId w:val="1009"/>
        </w:numPr>
        <w:pStyle w:val="Compact"/>
      </w:pPr>
      <w:r>
        <w:rPr>
          <w:bCs/>
          <w:b/>
        </w:rPr>
        <w:t xml:space="preserve">Renewable Energy Expansion:</w:t>
      </w:r>
      <w:r>
        <w:t xml:space="preserve"> </w:t>
      </w:r>
      <w:r>
        <w:t xml:space="preserve">Explore opportunities to further increase renewable energy usage in production facilities, beyond the current refpyjsrqn. This directly reduces Scope 2 emissions.</w:t>
      </w:r>
    </w:p>
    <w:p>
      <w:pPr>
        <w:numPr>
          <w:ilvl w:val="0"/>
          <w:numId w:val="1009"/>
        </w:numPr>
        <w:pStyle w:val="Compact"/>
      </w:pPr>
      <w:r>
        <w:rPr>
          <w:bCs/>
          <w:b/>
        </w:rPr>
        <w:t xml:space="preserve">Logistics Optimization:</w:t>
      </w:r>
      <w:r>
        <w:t xml:space="preserve"> </w:t>
      </w:r>
      <w:r>
        <w:t xml:space="preserve">Investigate more efficient transport modes and routes, especially for the \'Select Mode\' and \'Delivery Type\' legs. Optimizing load factors and exploring electric vehicles for last-mile delivery can significantly reduce Scope 3, Category 9 emissions.</w:t>
      </w:r>
    </w:p>
    <w:p>
      <w:pPr>
        <w:numPr>
          <w:ilvl w:val="0"/>
          <w:numId w:val="1009"/>
        </w:numPr>
        <w:pStyle w:val="Compact"/>
      </w:pPr>
      <w:r>
        <w:rPr>
          <w:bCs/>
          <w:b/>
        </w:rPr>
        <w:t xml:space="preserve">Product Design for Circularity:</w:t>
      </w:r>
      <w:r>
        <w:t xml:space="preserve"> </w:t>
      </w:r>
      <w:r>
        <w:t xml:space="preserve">Given the circular programs (vlzmmliimv) and recyclability (gwkgdyvvsk), further embed circular design principles to enhance durability, repairability, and ease of recycling. This can lead to greater avoided emissions at End-of-Life.</w:t>
      </w:r>
    </w:p>
    <w:p>
      <w:pPr>
        <w:numPr>
          <w:ilvl w:val="0"/>
          <w:numId w:val="1009"/>
        </w:numPr>
        <w:pStyle w:val="Compact"/>
      </w:pPr>
      <w:r>
        <w:rPr>
          <w:bCs/>
          <w:b/>
        </w:rPr>
        <w:t xml:space="preserve">Customer Education:</w:t>
      </w:r>
      <w:r>
        <w:t xml:space="preserve"> </w:t>
      </w:r>
      <w:r>
        <w:t xml:space="preserve">Provide clearer guidance to customers on efficient product use and proper end-of-life disposal/take-back procedures to minimize use phase and EoL emissions.</w:t>
      </w:r>
    </w:p>
    <w:p>
      <w:pPr>
        <w:numPr>
          <w:ilvl w:val="0"/>
          <w:numId w:val="1009"/>
        </w:numPr>
        <w:pStyle w:val="Compact"/>
      </w:pPr>
      <w:r>
        <w:rPr>
          <w:bCs/>
          <w:b/>
        </w:rPr>
        <w:t xml:space="preserve">LSR Standard Preparedness:</w:t>
      </w:r>
      <w:r>
        <w:t xml:space="preserve"> </w:t>
      </w:r>
      <w:r>
        <w:t xml:space="preserve">As the LSR Standard takes effect soon, assess its applicability to wyvhthqslq\'s wider supply chain, particularly if agricultural or land-intensive raw materials are involved.</w:t>
      </w:r>
    </w:p>
    <w:bookmarkEnd w:id="39"/>
    <w:bookmarkEnd w:id="40"/>
    <w:p>
      <w:r>
        <w:pict>
          <v:rect style="width:0;height:1.5pt" o:hralign="center" o:hrstd="t" o:hr="t"/>
        </w:pict>
      </w:r>
    </w:p>
    <w:p>
      <w:pPr>
        <w:pStyle w:val="FirstParagraph"/>
      </w:pPr>
      <w:r>
        <w:t xml:space="preserve">Confidential - Internal Use Only |</w:t>
      </w:r>
      <w:r>
        <w:t xml:space="preserve">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kkhgprdyiw</dc:title>
  <dc:creator/>
  <dc:description>Detailed Product Carbon Footprint (PCF) analysis for kkhgprdyiw by pdjfunswpf, Senior Sustainability Consultant at wyvhthqslq, adhering to GHG Protocol and 2026 LSR Update.</dc:description>
  <dc:language>en</dc:language>
  <cp:keywords/>
  <dcterms:created xsi:type="dcterms:W3CDTF">2026-10-16T22:50:02Z</dcterms:created>
  <dcterms:modified xsi:type="dcterms:W3CDTF">2026-10-16T22:50:02Z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