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kjmumyzplr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kjmumyzplr</w:t>
      </w:r>
    </w:p>
    <w:p>
      <w:pPr>
        <w:pStyle w:val="BodyText"/>
      </w:pPr>
      <w:r>
        <w:t xml:space="preserve">Company:</w:t>
      </w:r>
      <w:r>
        <w:t xml:space="preserve"> </w:t>
      </w:r>
      <w:r>
        <w:rPr>
          <w:bCs/>
          <w:b/>
        </w:rPr>
        <w:t xml:space="preserve">uqdseslugn</w:t>
      </w:r>
    </w:p>
    <w:p>
      <w:pPr>
        <w:pStyle w:val="BodyText"/>
      </w:pPr>
      <w:r>
        <w:t xml:space="preserve">Senior Sustainability Consultant:</w:t>
      </w:r>
      <w:r>
        <w:t xml:space="preserve"> </w:t>
      </w:r>
      <w:r>
        <w:rPr>
          <w:bCs/>
          <w:b/>
        </w:rPr>
        <w:t xml:space="preserve">zdqogidjzw</w:t>
      </w:r>
    </w:p>
    <w:p>
      <w:pPr>
        <w:pStyle w:val="BodyText"/>
      </w:pPr>
      <w:r>
        <w:t xml:space="preserve">Accounting Standard:</w:t>
      </w:r>
      <w:r>
        <w:t xml:space="preserve"> </w:t>
      </w:r>
      <w:r>
        <w:rPr>
          <w:bCs/>
          <w:b/>
        </w:rPr>
        <w:t xml:space="preserve">GHG Protocol</w:t>
      </w:r>
    </w:p>
    <w:p>
      <w:pPr>
        <w:pStyle w:val="BodyText"/>
      </w:pPr>
      <w:r>
        <w:rPr>
          <w:iCs/>
          <w:i/>
        </w:rPr>
        <w:t xml:space="preserve">Disclaimer: This report is generated based on available data and industry standards, providing an estimate of the product\'s carbon footprint. While diligent efforts have been made to ensure accuracy, specific conditions and data limitations may influence the final calculations.</w:t>
      </w:r>
    </w:p>
    <w:bookmarkEnd w:id="20"/>
    <w:bookmarkStart w:id="21" w:name="product-carbon-footprint-analysis"/>
    <w:p>
      <w:pPr>
        <w:pStyle w:val="Heading1"/>
      </w:pPr>
      <w:r>
        <w:t xml:space="preserve">Product Carbon Footprint Analysis</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kjmumyzplr</w:t>
      </w:r>
      <w:r>
        <w:t xml:space="preserve">, manufactured by</w:t>
      </w:r>
      <w:r>
        <w:t xml:space="preserve"> </w:t>
      </w:r>
      <w:r>
        <w:rPr>
          <w:bCs/>
          <w:b/>
        </w:rPr>
        <w:t xml:space="preserve">uqdseslugn</w:t>
      </w:r>
      <w:r>
        <w:t xml:space="preserve">. The analysis follows the Greenhouse Gas (GHG) Protocol standards, incorporating the 2026 Land Sector and Removals (LSR) update and aiming for at least 95% Scope 3 coverage. Conducted by Senior Sustainability Consultant</w:t>
      </w:r>
      <w:r>
        <w:t xml:space="preserve"> </w:t>
      </w:r>
      <w:r>
        <w:rPr>
          <w:bCs/>
          <w:b/>
        </w:rPr>
        <w:t xml:space="preserve">zdqogidjzw</w:t>
      </w:r>
      <w:r>
        <w:t xml:space="preserve">, this assessment provides a comprehensive overview of the product\'s environmental impact across its lifecycle, from material acquisition to end-of-life. Key emission hotspots are identified, and recommendations for improvement are provided, leveraging detailed Bill of Materials (BOM) and customized operational data.</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Product Carbon Footprint (PCF) analysis is established by clearly defining its scope, ensuring a consistent and comparable assessment.</w:t>
      </w:r>
    </w:p>
    <w:p>
      <w:pPr>
        <w:numPr>
          <w:ilvl w:val="0"/>
          <w:numId w:val="1001"/>
        </w:numPr>
        <w:pStyle w:val="Compact"/>
      </w:pPr>
      <w:r>
        <w:rPr>
          <w:bCs/>
          <w:b/>
        </w:rPr>
        <w:t xml:space="preserve">Functional Unit:</w:t>
      </w:r>
      <w:r>
        <w:t xml:space="preserve"> </w:t>
      </w:r>
      <w:r>
        <w:t xml:space="preserve">1.0 unit of kjmumyzplr.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This boundary encompasses all processes from raw material extraction, transport to the manufacturing facility, and the manufacturing processes themselves. Emissions from the use phase and end-of-life are also included to provide a holistic "cradle-to-grave" perspective for comprehensive Scope 3 analysis, even though the primary boundary for direct operations is factory-gate.</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emphasizing that critical upstream supply chain impacts are concentrated within Europe.</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Product Standard, ensuring robust and internationally recognized methodologies are applied for greenhouse gas emissions quantification.</w:t>
      </w:r>
    </w:p>
    <w:p>
      <w:pPr>
        <w:numPr>
          <w:ilvl w:val="0"/>
          <w:numId w:val="1001"/>
        </w:numPr>
        <w:pStyle w:val="Compact"/>
      </w:pPr>
      <w:r>
        <w:rPr>
          <w:bCs/>
          <w:b/>
        </w:rPr>
        <w:t xml:space="preserve">Allocation:</w:t>
      </w:r>
      <w:r>
        <w:t xml:space="preserve"> </w:t>
      </w:r>
      <w:r>
        <w:t xml:space="preserve">Where co-production or multi-functional processes occur, emissions have been allocated based on established GHG Protocol principles, typically using physical allocation (e.g., mass) or economic allocation where appropriate.</w:t>
      </w:r>
    </w:p>
    <w:p>
      <w:r>
        <w:pict>
          <v:rect style="width:0;height:1.5pt" o:hralign="center" o:hrstd="t" o:hr="t"/>
        </w:pict>
      </w:r>
    </w:p>
    <w:bookmarkEnd w:id="23"/>
    <w:bookmarkStart w:id="29" w:name="lifecycle-mapping-and-3.-data-collection"/>
    <w:p>
      <w:pPr>
        <w:pStyle w:val="Heading2"/>
      </w:pPr>
      <w:r>
        <w:t xml:space="preserve">2. Lifecycle Mapping and 3. Data Collection</w:t>
      </w:r>
    </w:p>
    <w:p>
      <w:pPr>
        <w:pStyle w:val="FirstParagraph"/>
      </w:pPr>
      <w:r>
        <w:t xml:space="preserve">This section details the lifecycle stages considered and the primary and secondary data points collected for the analysis of kjmumyzplr. Emissions are categorized according to the GHG Protocol\'s Scope 1, 2, and 3 definitions.</w:t>
      </w:r>
    </w:p>
    <w:bookmarkStart w:id="24" w:name="X18038ae8237b750cd393d6fb49a6c5b94f344cf"/>
    <w:p>
      <w:pPr>
        <w:pStyle w:val="Heading3"/>
      </w:pPr>
      <w:r>
        <w:t xml:space="preserve">2.1 Material Acquisition and Pre-processing (Scope 3 Upstream)</w:t>
      </w:r>
    </w:p>
    <w:p>
      <w:pPr>
        <w:pStyle w:val="FirstParagraph"/>
      </w:pPr>
      <w:r>
        <w:t xml:space="preserve">The Detailed Bill of Materials (BOM) for kjmumyzplr (</w:t>
      </w:r>
      <w:r>
        <w:rPr>
          <w:rStyle w:val="VerbatimChar"/>
        </w:rPr>
        <w:t xml:space="preserve">rtevyvfi</w:t>
      </w:r>
      <w:r>
        <w:t xml:space="preserve">) has been meticulously analyzed to determine the material composition and associated carbon impacts. The provided BOM data is as follows (assuming a semi-colon delimited format for multiple items in the string</w:t>
      </w:r>
      <w:r>
        <w:t xml:space="preserve"> </w:t>
      </w:r>
      <w:r>
        <w:rPr>
          <w:rStyle w:val="VerbatimChar"/>
        </w:rPr>
        <w:t xml:space="preserve">rtevyvfi</w:t>
      </w:r>
      <w:r>
        <w:t xml:space="preserve"> </w:t>
      </w:r>
      <w:r>
        <w:t xml:space="preserve">for demonstration):</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 or kg)</w:t>
      </w:r>
    </w:p>
    <w:p>
      <w:pPr>
        <w:pStyle w:val="BodyText"/>
      </w:pPr>
      <w:r>
        <w:t xml:space="preserve">Total Carbon (kg CO2e)</w:t>
      </w:r>
    </w:p>
    <w:p>
      <w:pPr>
        <w:pStyle w:val="BodyText"/>
      </w:pPr>
      <w:r>
        <w:t xml:space="preserve">Subtotal Material Carbon (Scope 3 Upstream):</w:t>
      </w:r>
    </w:p>
    <w:p>
      <w:pPr>
        <w:pStyle w:val="BodyText"/>
      </w:pPr>
      <w:r>
        <w:t xml:space="preserve">kg CO2e</w:t>
      </w:r>
    </w:p>
    <w:p>
      <w:pPr>
        <w:pStyle w:val="BodyText"/>
      </w:pPr>
      <w:r>
        <w:rPr>
          <w:iCs/>
          <w:i/>
        </w:rPr>
        <w:t xml:space="preserve">Note: The "Total Carbon" values from the BOM (</w:t>
      </w:r>
      <w:r>
        <w:rPr>
          <w:rStyle w:val="VerbatimChar"/>
          <w:iCs/>
          <w:i/>
        </w:rPr>
        <w:t xml:space="preserve">rtevyvfi</w:t>
      </w:r>
      <w:r>
        <w:rPr>
          <w:iCs/>
          <w:i/>
        </w:rPr>
        <w:t xml:space="preserve">) are directly used as provided, representing the pre-calculated emissions for the given quantity of each material. For mass-based calculations, an approximate total product mass of kg is derived from the BOM.</w:t>
      </w:r>
    </w:p>
    <w:bookmarkEnd w:id="24"/>
    <w:bookmarkStart w:id="25" w:name="manufacturing-phase-scope-1-2-3-upstream"/>
    <w:p>
      <w:pPr>
        <w:pStyle w:val="Heading3"/>
      </w:pPr>
      <w:r>
        <w:t xml:space="preserve">2.2 Manufacturing Phase (Scope 1, 2, &amp; 3 Upstream)</w:t>
      </w:r>
    </w:p>
    <w:p>
      <w:pPr>
        <w:pStyle w:val="FirstParagraph"/>
      </w:pPr>
      <w:r>
        <w:t xml:space="preserve">Production energy consumption and renewable energy usage are critical inputs for this phase.</w:t>
      </w:r>
    </w:p>
    <w:p>
      <w:pPr>
        <w:numPr>
          <w:ilvl w:val="0"/>
          <w:numId w:val="1002"/>
        </w:numPr>
        <w:pStyle w:val="Compact"/>
      </w:pPr>
      <w:r>
        <w:rPr>
          <w:bCs/>
          <w:b/>
        </w:rPr>
        <w:t xml:space="preserve">Energy Intensity (kWh/unit):</w:t>
      </w:r>
      <w:r>
        <w:t xml:space="preserve"> </w:t>
      </w:r>
      <w:r>
        <w:rPr>
          <w:rStyle w:val="VerbatimChar"/>
        </w:rPr>
        <w:t xml:space="preserve">mzyxtdxqho</w:t>
      </w:r>
      <w:r>
        <w:t xml:space="preserve"> </w:t>
      </w:r>
      <w:r>
        <w:t xml:space="preserve">(assumed: 15 kWh/unit for calculation purposes).</w:t>
      </w:r>
    </w:p>
    <w:p>
      <w:pPr>
        <w:numPr>
          <w:ilvl w:val="0"/>
          <w:numId w:val="1002"/>
        </w:numPr>
        <w:pStyle w:val="Compact"/>
      </w:pPr>
      <w:r>
        <w:rPr>
          <w:bCs/>
          <w:b/>
        </w:rPr>
        <w:t xml:space="preserve">Renewable Energy Usage:</w:t>
      </w:r>
      <w:r>
        <w:t xml:space="preserve"> </w:t>
      </w:r>
      <w:r>
        <w:rPr>
          <w:rStyle w:val="VerbatimChar"/>
        </w:rPr>
        <w:t xml:space="preserve">suxipvvlyu</w:t>
      </w:r>
      <w:r>
        <w:t xml:space="preserve"> </w:t>
      </w:r>
      <w:r>
        <w:t xml:space="preserve">(assumed: 75% for calculation purposes).</w:t>
      </w:r>
    </w:p>
    <w:p>
      <w:pPr>
        <w:numPr>
          <w:ilvl w:val="0"/>
          <w:numId w:val="1002"/>
        </w:numPr>
        <w:pStyle w:val="Compact"/>
      </w:pPr>
      <w:r>
        <w:rPr>
          <w:bCs/>
          <w:b/>
        </w:rPr>
        <w:t xml:space="preserve">Grid Electricity Emission Factor (China):</w:t>
      </w:r>
      <w:r>
        <w:t xml:space="preserve"> </w:t>
      </w:r>
      <w:r>
        <w:t xml:space="preserve">0.7 kg CO2e/kWh (industry average approximation, comparable to Ecoinvent/DEFRA principles).</w:t>
      </w:r>
    </w:p>
    <w:p>
      <w:pPr>
        <w:numPr>
          <w:ilvl w:val="0"/>
          <w:numId w:val="1002"/>
        </w:numPr>
        <w:pStyle w:val="Compact"/>
      </w:pPr>
      <w:r>
        <w:rPr>
          <w:bCs/>
          <w:b/>
        </w:rPr>
        <w:t xml:space="preserve">Renewable Electricity Emission Factor:</w:t>
      </w:r>
      <w:r>
        <w:t xml:space="preserve"> </w:t>
      </w:r>
      <w:r>
        <w:t xml:space="preserve">0.0 kg CO2e/kWh (assuming 100% renewable source with zero upstream emissions).</w:t>
      </w:r>
    </w:p>
    <w:bookmarkEnd w:id="25"/>
    <w:bookmarkStart w:id="26" w:name="X4037a19c011115c2e5ef5f41911899f7923cc8b"/>
    <w:p>
      <w:pPr>
        <w:pStyle w:val="Heading3"/>
      </w:pPr>
      <w:r>
        <w:t xml:space="preserve">2.3 Transport and Logistics (Scope 3 Upstream &amp; Downstream)</w:t>
      </w:r>
    </w:p>
    <w:p>
      <w:pPr>
        <w:pStyle w:val="FirstParagraph"/>
      </w:pPr>
      <w:r>
        <w:t xml:space="preserve">Transportation of raw materials to the factory and the finished product to the customer are assessed.</w:t>
      </w:r>
    </w:p>
    <w:p>
      <w:pPr>
        <w:numPr>
          <w:ilvl w:val="0"/>
          <w:numId w:val="1003"/>
        </w:numPr>
        <w:pStyle w:val="Compact"/>
      </w:pPr>
      <w:r>
        <w:rPr>
          <w:bCs/>
          <w:b/>
        </w:rPr>
        <w:t xml:space="preserve">Upstream Transport (Raw Materials to Factory in China, Europe Focused Supply Chain):</w:t>
      </w:r>
    </w:p>
    <w:p>
      <w:pPr>
        <w:numPr>
          <w:ilvl w:val="1"/>
          <w:numId w:val="1004"/>
        </w:numPr>
        <w:pStyle w:val="Compact"/>
      </w:pPr>
      <w:r>
        <w:rPr>
          <w:bCs/>
          <w:b/>
        </w:rPr>
        <w:t xml:space="preserve">Transport Mode:</w:t>
      </w:r>
      <w:r>
        <w:t xml:space="preserve"> </w:t>
      </w:r>
      <w:r>
        <w:t xml:space="preserve">Not explicitly defined as "Select Mode", assuming a mix of Road Freight (Heavy Goods Vehicle) for intra-Europe and Ocean Freight for intercontinental to China. For simplicity in calculation demonstration, we will use a single average factor for inbound logistics.</w:t>
      </w:r>
    </w:p>
    <w:p>
      <w:pPr>
        <w:numPr>
          <w:ilvl w:val="1"/>
          <w:numId w:val="1004"/>
        </w:numPr>
        <w:pStyle w:val="Compact"/>
      </w:pPr>
      <w:r>
        <w:rPr>
          <w:bCs/>
          <w:b/>
        </w:rPr>
        <w:t xml:space="preserve">Assumed Average Transport Distance:</w:t>
      </w:r>
      <w:r>
        <w:t xml:space="preserve"> </w:t>
      </w:r>
      <w:r>
        <w:rPr>
          <w:rStyle w:val="VerbatimChar"/>
        </w:rPr>
        <w:t xml:space="preserve">zmxflxiqdo</w:t>
      </w:r>
      <w:r>
        <w:t xml:space="preserve"> </w:t>
      </w:r>
      <w:r>
        <w:t xml:space="preserve">(assumed: 5000 km, representing a global average for primary components).</w:t>
      </w:r>
    </w:p>
    <w:p>
      <w:pPr>
        <w:numPr>
          <w:ilvl w:val="1"/>
          <w:numId w:val="1004"/>
        </w:numPr>
        <w:pStyle w:val="Compact"/>
      </w:pPr>
      <w:r>
        <w:rPr>
          <w:bCs/>
          <w:b/>
        </w:rPr>
        <w:t xml:space="preserve">Assumed Cargo Weight per unit:</w:t>
      </w:r>
      <w:r>
        <w:t xml:space="preserve"> </w:t>
      </w:r>
      <w:r>
        <w:t xml:space="preserve">Approximately</w:t>
      </w:r>
    </w:p>
    <w:p>
      <w:pPr>
        <w:numPr>
          <w:ilvl w:val="1"/>
          <w:numId w:val="1000"/>
        </w:numPr>
        <w:pStyle w:val="Compact"/>
      </w:pPr>
      <w:r>
        <w:t xml:space="preserve">kg (total mass from BOM).</w:t>
      </w:r>
    </w:p>
    <w:p>
      <w:pPr>
        <w:numPr>
          <w:ilvl w:val="1"/>
          <w:numId w:val="1004"/>
        </w:numPr>
        <w:pStyle w:val="Compact"/>
      </w:pPr>
      <w:r>
        <w:rPr>
          <w:bCs/>
          <w:b/>
        </w:rPr>
        <w:t xml:space="preserve">Emission Factor (Ocean Freight average for 5000km):</w:t>
      </w:r>
      <w:r>
        <w:t xml:space="preserve"> </w:t>
      </w:r>
      <w:r>
        <w:t xml:space="preserve">0.01 kg CO2e/tonne-km (illustrative, for demonstrating a global component).</w:t>
      </w:r>
    </w:p>
    <w:p>
      <w:pPr>
        <w:numPr>
          <w:ilvl w:val="0"/>
          <w:numId w:val="1003"/>
        </w:numPr>
        <w:pStyle w:val="Compact"/>
      </w:pPr>
      <w:r>
        <w:rPr>
          <w:bCs/>
          <w:b/>
        </w:rPr>
        <w:t xml:space="preserve">Downstream Transport (Factory in China to End Customer - Global Distribution):</w:t>
      </w:r>
    </w:p>
    <w:p>
      <w:pPr>
        <w:numPr>
          <w:ilvl w:val="1"/>
          <w:numId w:val="1005"/>
        </w:numPr>
        <w:pStyle w:val="Compact"/>
      </w:pPr>
      <w:r>
        <w:rPr>
          <w:bCs/>
          <w:b/>
        </w:rPr>
        <w:t xml:space="preserve">Transport Mode:</w:t>
      </w:r>
      <w:r>
        <w:t xml:space="preserve"> </w:t>
      </w:r>
      <w:r>
        <w:rPr>
          <w:rStyle w:val="VerbatimChar"/>
        </w:rPr>
        <w:t xml:space="preserve">Select Mode</w:t>
      </w:r>
      <w:r>
        <w:t xml:space="preserve"> </w:t>
      </w:r>
      <w:r>
        <w:t xml:space="preserve">(Not explicitly defined, assuming Road Freight for primary distribution within Europe, given "Europe Focused" supply chain emphasis for the product\'s market).</w:t>
      </w:r>
    </w:p>
    <w:p>
      <w:pPr>
        <w:numPr>
          <w:ilvl w:val="1"/>
          <w:numId w:val="1005"/>
        </w:numPr>
        <w:pStyle w:val="Compact"/>
      </w:pPr>
      <w:r>
        <w:rPr>
          <w:bCs/>
          <w:b/>
        </w:rPr>
        <w:t xml:space="preserve">Transport Distance:</w:t>
      </w:r>
      <w:r>
        <w:t xml:space="preserve"> </w:t>
      </w:r>
      <w:r>
        <w:rPr>
          <w:rStyle w:val="VerbatimChar"/>
        </w:rPr>
        <w:t xml:space="preserve">zmxflxiqdo</w:t>
      </w:r>
      <w:r>
        <w:t xml:space="preserve"> </w:t>
      </w:r>
      <w:r>
        <w:t xml:space="preserve">(assumed: 1500 km for primary distribution from distribution hub).</w:t>
      </w:r>
    </w:p>
    <w:p>
      <w:pPr>
        <w:numPr>
          <w:ilvl w:val="1"/>
          <w:numId w:val="1005"/>
        </w:numPr>
        <w:pStyle w:val="Compact"/>
      </w:pPr>
      <w:r>
        <w:rPr>
          <w:bCs/>
          <w:b/>
        </w:rPr>
        <w:t xml:space="preserve">Last-Mile Delivery Channel:</w:t>
      </w:r>
      <w:r>
        <w:t xml:space="preserve"> </w:t>
      </w:r>
      <w:r>
        <w:rPr>
          <w:rStyle w:val="VerbatimChar"/>
        </w:rPr>
        <w:t xml:space="preserve">Delivery Type</w:t>
      </w:r>
      <w:r>
        <w:t xml:space="preserve"> </w:t>
      </w:r>
      <w:r>
        <w:t xml:space="preserve">(Not explicitly defined, assuming parcel delivery via Light Commercial Vehicle for last mile).</w:t>
      </w:r>
    </w:p>
    <w:p>
      <w:pPr>
        <w:numPr>
          <w:ilvl w:val="1"/>
          <w:numId w:val="1005"/>
        </w:numPr>
        <w:pStyle w:val="Compact"/>
      </w:pPr>
      <w:r>
        <w:rPr>
          <w:bCs/>
          <w:b/>
        </w:rPr>
        <w:t xml:space="preserve">Last-Mile Delivery Distance:</w:t>
      </w:r>
      <w:r>
        <w:t xml:space="preserve"> </w:t>
      </w:r>
      <w:r>
        <w:t xml:space="preserve">Assumed 50 km.</w:t>
      </w:r>
    </w:p>
    <w:p>
      <w:pPr>
        <w:numPr>
          <w:ilvl w:val="1"/>
          <w:numId w:val="1005"/>
        </w:numPr>
        <w:pStyle w:val="Compact"/>
      </w:pPr>
      <w:r>
        <w:rPr>
          <w:bCs/>
          <w:b/>
        </w:rPr>
        <w:t xml:space="preserve">Emission Factor (Road Freight - Heavy Goods Vehicle):</w:t>
      </w:r>
      <w:r>
        <w:t xml:space="preserve"> </w:t>
      </w:r>
      <w:r>
        <w:t xml:space="preserve">0.1 kg CO2e/tonne-km (industry average approximation).</w:t>
      </w:r>
    </w:p>
    <w:p>
      <w:pPr>
        <w:numPr>
          <w:ilvl w:val="1"/>
          <w:numId w:val="1005"/>
        </w:numPr>
        <w:pStyle w:val="Compact"/>
      </w:pPr>
      <w:r>
        <w:rPr>
          <w:bCs/>
          <w:b/>
        </w:rPr>
        <w:t xml:space="preserve">Emission Factor (Light Commercial Vehicle):</w:t>
      </w:r>
      <w:r>
        <w:t xml:space="preserve"> </w:t>
      </w:r>
      <w:r>
        <w:t xml:space="preserve">0.25 kg CO2e/km (industry average approximation).</w:t>
      </w:r>
    </w:p>
    <w:bookmarkEnd w:id="26"/>
    <w:bookmarkStart w:id="27" w:name="use-phase-scope-3-downstream"/>
    <w:p>
      <w:pPr>
        <w:pStyle w:val="Heading3"/>
      </w:pPr>
      <w:r>
        <w:t xml:space="preserve">2.4 Use Phase (Scope 3 Downstream)</w:t>
      </w:r>
    </w:p>
    <w:p>
      <w:pPr>
        <w:pStyle w:val="FirstParagraph"/>
      </w:pPr>
      <w:r>
        <w:t xml:space="preserve">Emissions generated during the product\'s active use are calculated based on energy consumption over its lifespan.</w:t>
      </w:r>
    </w:p>
    <w:p>
      <w:pPr>
        <w:numPr>
          <w:ilvl w:val="0"/>
          <w:numId w:val="1006"/>
        </w:numPr>
        <w:pStyle w:val="Compact"/>
      </w:pPr>
      <w:r>
        <w:rPr>
          <w:bCs/>
          <w:b/>
        </w:rPr>
        <w:t xml:space="preserve">Product Lifespan:</w:t>
      </w:r>
      <w:r>
        <w:t xml:space="preserve"> </w:t>
      </w:r>
      <w:r>
        <w:rPr>
          <w:rStyle w:val="VerbatimChar"/>
        </w:rPr>
        <w:t xml:space="preserve">tnmnsuwoiy</w:t>
      </w:r>
      <w:r>
        <w:t xml:space="preserve"> </w:t>
      </w:r>
      <w:r>
        <w:t xml:space="preserve">(assumed: 5 years for calculation purposes).</w:t>
      </w:r>
    </w:p>
    <w:p>
      <w:pPr>
        <w:numPr>
          <w:ilvl w:val="0"/>
          <w:numId w:val="1006"/>
        </w:numPr>
        <w:pStyle w:val="Compact"/>
      </w:pPr>
      <w:r>
        <w:rPr>
          <w:bCs/>
          <w:b/>
        </w:rPr>
        <w:t xml:space="preserve">Energy Consumption in Use:</w:t>
      </w:r>
      <w:r>
        <w:t xml:space="preserve"> </w:t>
      </w:r>
      <w:r>
        <w:rPr>
          <w:rStyle w:val="VerbatimChar"/>
        </w:rPr>
        <w:t xml:space="preserve">ehohlknisg</w:t>
      </w:r>
      <w:r>
        <w:t xml:space="preserve"> </w:t>
      </w:r>
      <w:r>
        <w:t xml:space="preserve">(assumed: 10 kWh/year for calculation purposes).</w:t>
      </w:r>
    </w:p>
    <w:p>
      <w:pPr>
        <w:numPr>
          <w:ilvl w:val="0"/>
          <w:numId w:val="1006"/>
        </w:numPr>
        <w:pStyle w:val="Compact"/>
      </w:pPr>
      <w:r>
        <w:rPr>
          <w:bCs/>
          <w:b/>
        </w:rPr>
        <w:t xml:space="preserve">Electricity Emission Factor (Global Average for Use Phase):</w:t>
      </w:r>
      <w:r>
        <w:t xml:space="preserve"> </w:t>
      </w:r>
      <w:r>
        <w:t xml:space="preserve">0.5 kg CO2e/kWh (approximation for typical grid mix globally).</w:t>
      </w:r>
    </w:p>
    <w:bookmarkEnd w:id="27"/>
    <w:bookmarkStart w:id="28" w:name="X0b1a7869ec5c89eda6252c7ad7e638ee66010db"/>
    <w:p>
      <w:pPr>
        <w:pStyle w:val="Heading3"/>
      </w:pPr>
      <w:r>
        <w:t xml:space="preserve">2.5 End-of-Life (EoL) Scenarios (Scope 3 Downstream)</w:t>
      </w:r>
    </w:p>
    <w:p>
      <w:pPr>
        <w:pStyle w:val="FirstParagraph"/>
      </w:pPr>
      <w:r>
        <w:t xml:space="preserve">The fate of the product at the end of its useful life is assessed, considering circularity initiatives.</w:t>
      </w:r>
    </w:p>
    <w:p>
      <w:pPr>
        <w:numPr>
          <w:ilvl w:val="0"/>
          <w:numId w:val="1007"/>
        </w:numPr>
        <w:pStyle w:val="Compact"/>
      </w:pPr>
      <w:r>
        <w:rPr>
          <w:bCs/>
          <w:b/>
        </w:rPr>
        <w:t xml:space="preserve">Recyclability Percentage:</w:t>
      </w:r>
      <w:r>
        <w:t xml:space="preserve"> </w:t>
      </w:r>
      <w:r>
        <w:rPr>
          <w:rStyle w:val="VerbatimChar"/>
        </w:rPr>
        <w:t xml:space="preserve">kpmwpjkkgu</w:t>
      </w:r>
      <w:r>
        <w:t xml:space="preserve"> </w:t>
      </w:r>
      <w:r>
        <w:t xml:space="preserve">(assumed: 80% for calculation purposes).</w:t>
      </w:r>
    </w:p>
    <w:p>
      <w:pPr>
        <w:numPr>
          <w:ilvl w:val="0"/>
          <w:numId w:val="1007"/>
        </w:numPr>
        <w:pStyle w:val="Compact"/>
      </w:pPr>
      <w:r>
        <w:rPr>
          <w:bCs/>
          <w:b/>
        </w:rPr>
        <w:t xml:space="preserve">Circular/Take-back Programs:</w:t>
      </w:r>
      <w:r>
        <w:t xml:space="preserve"> </w:t>
      </w:r>
      <w:r>
        <w:rPr>
          <w:rStyle w:val="VerbatimChar"/>
        </w:rPr>
        <w:t xml:space="preserve">yvtgougemi</w:t>
      </w:r>
      <w:r>
        <w:t xml:space="preserve"> </w:t>
      </w:r>
      <w:r>
        <w:t xml:space="preserve">(assumed: Yes, via certified recycling partners, implying potential for avoided emissions).</w:t>
      </w:r>
    </w:p>
    <w:p>
      <w:pPr>
        <w:numPr>
          <w:ilvl w:val="0"/>
          <w:numId w:val="1007"/>
        </w:numPr>
        <w:pStyle w:val="Compact"/>
      </w:pPr>
      <w:r>
        <w:rPr>
          <w:bCs/>
          <w:b/>
        </w:rPr>
        <w:t xml:space="preserve">Assumed avoided emissions credit for recycling:</w:t>
      </w:r>
      <w:r>
        <w:t xml:space="preserve"> </w:t>
      </w:r>
      <w:r>
        <w:t xml:space="preserve">-1.0 kg CO2e/kg of recycled material (illustrative average for displaced virgin material).</w:t>
      </w:r>
    </w:p>
    <w:p>
      <w:pPr>
        <w:numPr>
          <w:ilvl w:val="0"/>
          <w:numId w:val="1007"/>
        </w:numPr>
        <w:pStyle w:val="Compact"/>
      </w:pPr>
      <w:r>
        <w:rPr>
          <w:bCs/>
          <w:b/>
        </w:rPr>
        <w:t xml:space="preserve">Remaining waste disposal:</w:t>
      </w:r>
      <w:r>
        <w:t xml:space="preserve"> </w:t>
      </w:r>
      <w:r>
        <w:t xml:space="preserve">20% to landfill, with an emission factor of 0.1 kg CO2e/kg (illustrative).</w:t>
      </w:r>
    </w:p>
    <w:p>
      <w:r>
        <w:pict>
          <v:rect style="width:0;height:1.5pt" o:hralign="center" o:hrstd="t" o:hr="t"/>
        </w:pict>
      </w:r>
    </w:p>
    <w:bookmarkEnd w:id="28"/>
    <w:bookmarkEnd w:id="29"/>
    <w:bookmarkStart w:id="34" w:name="emission-calculation"/>
    <w:p>
      <w:pPr>
        <w:pStyle w:val="Heading2"/>
      </w:pPr>
      <w:r>
        <w:t xml:space="preserve">4. Emission Calculation</w:t>
      </w:r>
    </w:p>
    <w:p>
      <w:pPr>
        <w:pStyle w:val="FirstParagraph"/>
      </w:pPr>
      <w:r>
        <w:t xml:space="preserve">Emissions are calculated for each lifecycle stage (Activity Data × Emission Factor = CO2e) and categorized into GHG Protocol Scopes.</w:t>
      </w:r>
    </w:p>
    <w:bookmarkStart w:id="30" w:name="assumptions-for-emission-factors"/>
    <w:p>
      <w:pPr>
        <w:pStyle w:val="Heading3"/>
      </w:pPr>
      <w:r>
        <w:t xml:space="preserve">4.1 Assumptions for Emission Factors:</w:t>
      </w:r>
    </w:p>
    <w:p>
      <w:pPr>
        <w:pStyle w:val="FirstParagraph"/>
      </w:pPr>
      <w:r>
        <w:t xml:space="preserve">Generic emission factors have been used, informed by industry averages and principles consistent with databases like Ecoinvent and DEFRA, where specific factors were not provided or accessible. All figures are in CO2e (carbon dioxide equivalent).</w:t>
      </w:r>
    </w:p>
    <w:bookmarkEnd w:id="30"/>
    <w:bookmarkStart w:id="31" w:name="Xd344756778c8cd6b12ab88b94dc87cfa20d1f45"/>
    <w:p>
      <w:pPr>
        <w:pStyle w:val="Heading3"/>
      </w:pPr>
      <w:r>
        <w:t xml:space="preserve">4.2 Detailed Emissions Breakdown per Functional Unit (1.0 unit of kjmumyzplr):</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 per Functional Unit</w:t>
            </w:r>
          </w:p>
        </w:tc>
      </w:tr>
      <w:tr>
        <w:tc>
          <w:tcPr/>
          <w:p>
            <w:pPr>
              <w:pStyle w:val="Compact"/>
              <w:jc w:val="left"/>
            </w:pPr>
            <w:r>
              <w:rPr>
                <w:bCs/>
                <w:b/>
              </w:rPr>
              <w:t xml:space="preserve">Material Acquisition &amp; Pre-processing</w:t>
            </w:r>
          </w:p>
        </w:tc>
        <w:tc>
          <w:tcPr/>
          <w:p>
            <w:pPr>
              <w:pStyle w:val="Compact"/>
              <w:jc w:val="left"/>
            </w:pPr>
            <w:r>
              <w:t xml:space="preserve">Scope 3 (Upstream)</w:t>
            </w:r>
          </w:p>
        </w:tc>
        <w:tc>
          <w:tcPr/>
          <w:p>
            <w:pPr>
              <w:pStyle w:val="Compact"/>
              <w:jc w:val="left"/>
            </w:pPr>
            <w:r>
              <w:t xml:space="preserve">Materials as per BOM (</w:t>
            </w:r>
            <w:r>
              <w:rPr>
                <w:rStyle w:val="VerbatimChar"/>
              </w:rPr>
              <w:t xml:space="preserve">rtevyvfi</w:t>
            </w:r>
            <w:r>
              <w:t xml:space="preserve">)</w:t>
            </w:r>
          </w:p>
        </w:tc>
        <w:tc>
          <w:tcPr/>
          <w:p>
            <w:pPr>
              <w:pStyle w:val="Compact"/>
              <w:jc w:val="left"/>
            </w:pPr>
            <w:r>
              <w:t xml:space="preserve">Variable (from BOM)</w:t>
            </w:r>
          </w:p>
        </w:tc>
        <w:tc>
          <w:tcPr/>
          <w:p>
            <w:pPr>
              <w:pStyle w:val="Compact"/>
            </w:pPr>
          </w:p>
        </w:tc>
      </w:tr>
      <w:tr>
        <w:tc>
          <w:tcPr>
            <w:gridSpan w:val="5"/>
          </w:tcPr>
          <w:p>
            <w:pPr>
              <w:pStyle w:val="Compact"/>
              <w:jc w:val="left"/>
            </w:pPr>
            <w:r>
              <w:t xml:space="preserve">Manufacturing (Production) Phase</w:t>
            </w:r>
          </w:p>
        </w:tc>
      </w:tr>
      <w:tr>
        <w:tc>
          <w:tcPr/>
          <w:p>
            <w:pPr>
              <w:pStyle w:val="Compact"/>
              <w:jc w:val="left"/>
            </w:pPr>
            <w:r>
              <w:t xml:space="preserve">    Purchased Electricity (Grid)</w:t>
            </w:r>
          </w:p>
        </w:tc>
        <w:tc>
          <w:tcPr/>
          <w:p>
            <w:pPr>
              <w:pStyle w:val="Compact"/>
              <w:jc w:val="left"/>
            </w:pPr>
            <w:r>
              <w:t xml:space="preserve">Scope 2</w:t>
            </w:r>
          </w:p>
        </w:tc>
        <w:tc>
          <w:tcPr/>
          <w:p>
            <w:pPr>
              <w:pStyle w:val="Compact"/>
              <w:jc w:val="left"/>
            </w:pPr>
            <w:r>
              <w:t xml:space="preserve">kWh</w:t>
            </w:r>
          </w:p>
        </w:tc>
        <w:tc>
          <w:tcPr/>
          <w:p>
            <w:pPr>
              <w:pStyle w:val="Compact"/>
              <w:jc w:val="left"/>
            </w:pPr>
            <w:r>
              <w:t xml:space="preserve">kg CO2e/kWh</w:t>
            </w:r>
          </w:p>
        </w:tc>
        <w:tc>
          <w:tcPr/>
          <w:p>
            <w:pPr>
              <w:pStyle w:val="Compact"/>
            </w:pPr>
          </w:p>
        </w:tc>
      </w:tr>
      <w:tr>
        <w:tc>
          <w:tcPr/>
          <w:p>
            <w:pPr>
              <w:pStyle w:val="Compact"/>
              <w:jc w:val="left"/>
            </w:pPr>
            <w:r>
              <w:t xml:space="preserve">    Purchased Electricity (Renewable)</w:t>
            </w:r>
          </w:p>
        </w:tc>
        <w:tc>
          <w:tcPr/>
          <w:p>
            <w:pPr>
              <w:pStyle w:val="Compact"/>
              <w:jc w:val="left"/>
            </w:pPr>
            <w:r>
              <w:t xml:space="preserve">Scope 2</w:t>
            </w:r>
          </w:p>
        </w:tc>
        <w:tc>
          <w:tcPr/>
          <w:p>
            <w:pPr>
              <w:pStyle w:val="Compact"/>
              <w:jc w:val="left"/>
            </w:pPr>
            <w:r>
              <w:t xml:space="preserve">kWh</w:t>
            </w:r>
          </w:p>
        </w:tc>
        <w:tc>
          <w:tcPr/>
          <w:p>
            <w:pPr>
              <w:pStyle w:val="Compact"/>
              <w:jc w:val="left"/>
            </w:pPr>
            <w:r>
              <w:t xml:space="preserve">kg CO2e/kWh</w:t>
            </w:r>
          </w:p>
        </w:tc>
        <w:tc>
          <w:tcPr/>
          <w:p>
            <w:pPr>
              <w:pStyle w:val="Compact"/>
            </w:pPr>
          </w:p>
        </w:tc>
      </w:tr>
      <w:tr>
        <w:tc>
          <w:tcPr>
            <w:gridSpan w:val="5"/>
          </w:tcPr>
          <w:p>
            <w:pPr>
              <w:pStyle w:val="Compact"/>
              <w:jc w:val="left"/>
            </w:pPr>
            <w:r>
              <w:t xml:space="preserve">Transport and Logistics</w:t>
            </w:r>
          </w:p>
        </w:tc>
      </w:tr>
      <w:tr>
        <w:tc>
          <w:tcPr/>
          <w:p>
            <w:pPr>
              <w:pStyle w:val="Compact"/>
              <w:jc w:val="left"/>
            </w:pPr>
            <w:r>
              <w:t xml:space="preserve">    Upstream Transport (Raw Materials)</w:t>
            </w:r>
          </w:p>
        </w:tc>
        <w:tc>
          <w:tcPr/>
          <w:p>
            <w:pPr>
              <w:pStyle w:val="Compact"/>
              <w:jc w:val="left"/>
            </w:pPr>
            <w:r>
              <w:t xml:space="preserve">Scope 3 (Upstream)</w:t>
            </w:r>
          </w:p>
        </w:tc>
        <w:tc>
          <w:tcPr/>
          <w:p>
            <w:pPr>
              <w:pStyle w:val="Compact"/>
              <w:jc w:val="left"/>
            </w:pPr>
            <w:r>
              <w:t xml:space="preserve">tonne-km</w:t>
            </w:r>
          </w:p>
        </w:tc>
        <w:tc>
          <w:tcPr/>
          <w:p>
            <w:pPr>
              <w:pStyle w:val="Compact"/>
              <w:jc w:val="left"/>
            </w:pPr>
            <w:r>
              <w:t xml:space="preserve">kg CO2e/tonne-km</w:t>
            </w:r>
          </w:p>
        </w:tc>
        <w:tc>
          <w:tcPr/>
          <w:p>
            <w:pPr>
              <w:pStyle w:val="Compact"/>
            </w:pPr>
          </w:p>
        </w:tc>
      </w:tr>
      <w:tr>
        <w:tc>
          <w:tcPr/>
          <w:p>
            <w:pPr>
              <w:pStyle w:val="Compact"/>
              <w:jc w:val="left"/>
            </w:pPr>
            <w:r>
              <w:t xml:space="preserve">    Downstream Transport (Distribution)</w:t>
            </w:r>
          </w:p>
        </w:tc>
        <w:tc>
          <w:tcPr/>
          <w:p>
            <w:pPr>
              <w:pStyle w:val="Compact"/>
              <w:jc w:val="left"/>
            </w:pPr>
            <w:r>
              <w:t xml:space="preserve">Scope 3 (Downstream)</w:t>
            </w:r>
          </w:p>
        </w:tc>
        <w:tc>
          <w:tcPr/>
          <w:p>
            <w:pPr>
              <w:pStyle w:val="Compact"/>
              <w:jc w:val="left"/>
            </w:pPr>
            <w:r>
              <w:t xml:space="preserve">tonne-km</w:t>
            </w:r>
          </w:p>
        </w:tc>
        <w:tc>
          <w:tcPr/>
          <w:p>
            <w:pPr>
              <w:pStyle w:val="Compact"/>
              <w:jc w:val="left"/>
            </w:pPr>
            <w:r>
              <w:t xml:space="preserve">kg CO2e/tonne-km</w:t>
            </w:r>
          </w:p>
        </w:tc>
        <w:tc>
          <w:tcPr/>
          <w:p>
            <w:pPr>
              <w:pStyle w:val="Compact"/>
            </w:pPr>
          </w:p>
        </w:tc>
      </w:tr>
      <w:tr>
        <w:tc>
          <w:tcPr/>
          <w:p>
            <w:pPr>
              <w:pStyle w:val="Compact"/>
              <w:jc w:val="left"/>
            </w:pPr>
            <w:r>
              <w:t xml:space="preserve">    Downstream Transport (Last Mile)</w:t>
            </w:r>
          </w:p>
        </w:tc>
        <w:tc>
          <w:tcPr/>
          <w:p>
            <w:pPr>
              <w:pStyle w:val="Compact"/>
              <w:jc w:val="left"/>
            </w:pPr>
            <w:r>
              <w:t xml:space="preserve">Scope 3 (Downstream)</w:t>
            </w:r>
          </w:p>
        </w:tc>
        <w:tc>
          <w:tcPr/>
          <w:p>
            <w:pPr>
              <w:pStyle w:val="Compact"/>
              <w:jc w:val="left"/>
            </w:pPr>
            <w:r>
              <w:t xml:space="preserve">km</w:t>
            </w:r>
          </w:p>
        </w:tc>
        <w:tc>
          <w:tcPr/>
          <w:p>
            <w:pPr>
              <w:pStyle w:val="Compact"/>
              <w:jc w:val="left"/>
            </w:pPr>
            <w:r>
              <w:t xml:space="preserve">kg CO2e/km</w:t>
            </w:r>
          </w:p>
        </w:tc>
        <w:tc>
          <w:tcPr/>
          <w:p>
            <w:pPr>
              <w:pStyle w:val="Compact"/>
            </w:pPr>
          </w:p>
        </w:tc>
      </w:tr>
      <w:tr>
        <w:tc>
          <w:tcPr>
            <w:gridSpan w:val="5"/>
          </w:tcPr>
          <w:p>
            <w:pPr>
              <w:pStyle w:val="Compact"/>
              <w:jc w:val="left"/>
            </w:pPr>
            <w:r>
              <w:t xml:space="preserve">Use Phase</w:t>
            </w:r>
          </w:p>
        </w:tc>
      </w:tr>
      <w:tr>
        <w:tc>
          <w:tcPr/>
          <w:p>
            <w:pPr>
              <w:pStyle w:val="Compact"/>
              <w:jc w:val="left"/>
            </w:pPr>
            <w:r>
              <w:t xml:space="preserve">    Energy Consumption during Use</w:t>
            </w:r>
          </w:p>
        </w:tc>
        <w:tc>
          <w:tcPr/>
          <w:p>
            <w:pPr>
              <w:pStyle w:val="Compact"/>
              <w:jc w:val="left"/>
            </w:pPr>
            <w:r>
              <w:t xml:space="preserve">Scope 3 (Downstream)</w:t>
            </w:r>
          </w:p>
        </w:tc>
        <w:tc>
          <w:tcPr/>
          <w:p>
            <w:pPr>
              <w:pStyle w:val="Compact"/>
              <w:jc w:val="left"/>
            </w:pPr>
            <w:r>
              <w:t xml:space="preserve">kWh</w:t>
            </w:r>
          </w:p>
        </w:tc>
        <w:tc>
          <w:tcPr/>
          <w:p>
            <w:pPr>
              <w:pStyle w:val="Compact"/>
              <w:jc w:val="left"/>
            </w:pPr>
            <w:r>
              <w:t xml:space="preserve">kg CO2e/kWh</w:t>
            </w:r>
          </w:p>
        </w:tc>
        <w:tc>
          <w:tcPr/>
          <w:p>
            <w:pPr>
              <w:pStyle w:val="Compact"/>
            </w:pPr>
          </w:p>
        </w:tc>
      </w:tr>
      <w:tr>
        <w:tc>
          <w:tcPr>
            <w:gridSpan w:val="5"/>
          </w:tcPr>
          <w:p>
            <w:pPr>
              <w:pStyle w:val="Compact"/>
              <w:jc w:val="left"/>
            </w:pPr>
            <w:r>
              <w:t xml:space="preserve">End-of-Life</w:t>
            </w:r>
          </w:p>
        </w:tc>
      </w:tr>
      <w:tr>
        <w:tc>
          <w:tcPr/>
          <w:p>
            <w:pPr>
              <w:pStyle w:val="Compact"/>
              <w:jc w:val="left"/>
            </w:pPr>
            <w:r>
              <w:t xml:space="preserve">    Recycling (Avoided Emissions)</w:t>
            </w:r>
          </w:p>
        </w:tc>
        <w:tc>
          <w:tcPr/>
          <w:p>
            <w:pPr>
              <w:pStyle w:val="Compact"/>
              <w:jc w:val="left"/>
            </w:pPr>
            <w:r>
              <w:t xml:space="preserve">Scope 3 (Downstream)</w:t>
            </w:r>
          </w:p>
        </w:tc>
        <w:tc>
          <w:tcPr/>
          <w:p>
            <w:pPr>
              <w:pStyle w:val="Compact"/>
              <w:jc w:val="left"/>
            </w:pPr>
            <w:r>
              <w:t xml:space="preserve">kg recycled</w:t>
            </w:r>
          </w:p>
        </w:tc>
        <w:tc>
          <w:tcPr/>
          <w:p>
            <w:pPr>
              <w:pStyle w:val="Compact"/>
              <w:jc w:val="left"/>
            </w:pPr>
            <w:r>
              <w:t xml:space="preserve">kg CO2e/kg</w:t>
            </w:r>
          </w:p>
        </w:tc>
        <w:tc>
          <w:tcPr/>
          <w:p>
            <w:pPr>
              <w:pStyle w:val="Compact"/>
            </w:pPr>
          </w:p>
        </w:tc>
      </w:tr>
      <w:tr>
        <w:tc>
          <w:tcPr/>
          <w:p>
            <w:pPr>
              <w:pStyle w:val="Compact"/>
              <w:jc w:val="left"/>
            </w:pPr>
            <w:r>
              <w:t xml:space="preserve">    Landfill Disposal</w:t>
            </w:r>
          </w:p>
        </w:tc>
        <w:tc>
          <w:tcPr/>
          <w:p>
            <w:pPr>
              <w:pStyle w:val="Compact"/>
              <w:jc w:val="left"/>
            </w:pPr>
            <w:r>
              <w:t xml:space="preserve">Scope 3 (Downstream)</w:t>
            </w:r>
          </w:p>
        </w:tc>
        <w:tc>
          <w:tcPr/>
          <w:p>
            <w:pPr>
              <w:pStyle w:val="Compact"/>
              <w:jc w:val="left"/>
            </w:pPr>
            <w:r>
              <w:t xml:space="preserve">kg landfilled</w:t>
            </w:r>
          </w:p>
        </w:tc>
        <w:tc>
          <w:tcPr/>
          <w:p>
            <w:pPr>
              <w:pStyle w:val="Compact"/>
              <w:jc w:val="left"/>
            </w:pPr>
            <w:r>
              <w:t xml:space="preserve">kg CO2e/kg</w:t>
            </w:r>
          </w:p>
        </w:tc>
        <w:tc>
          <w:tcPr/>
          <w:p>
            <w:pPr>
              <w:pStyle w:val="Compact"/>
            </w:pPr>
          </w:p>
        </w:tc>
      </w:tr>
      <w:tr>
        <w:tc>
          <w:tcPr>
            <w:gridSpan w:val="4"/>
          </w:tcPr>
          <w:p>
            <w:pPr>
              <w:pStyle w:val="Compact"/>
              <w:jc w:val="right"/>
            </w:pPr>
            <w:r>
              <w:t xml:space="preserve">Total Product Carbon Footprint (PCF) per Functional Unit:</w:t>
            </w:r>
          </w:p>
        </w:tc>
        <w:tc>
          <w:tcPr/>
          <w:p>
            <w:pPr>
              <w:pStyle w:val="Compact"/>
              <w:jc w:val="left"/>
            </w:pPr>
            <w:r>
              <w:t xml:space="preserve">kg CO2e</w:t>
            </w:r>
          </w:p>
        </w:tc>
      </w:tr>
    </w:tbl>
    <w:bookmarkEnd w:id="31"/>
    <w:bookmarkStart w:id="32" w:name="ghg-protocol-scope-breakdown"/>
    <w:p>
      <w:pPr>
        <w:pStyle w:val="Heading3"/>
      </w:pPr>
      <w:r>
        <w:t xml:space="preserve">4.3 GHG Protocol Scope Breakdown:</w:t>
      </w:r>
    </w:p>
    <w:p>
      <w:pPr>
        <w:pStyle w:val="FirstParagraph"/>
      </w:pPr>
      <w:r>
        <w:t xml:space="preserve">Based on the calculations, the emissions are categorized as follows:</w:t>
      </w:r>
    </w:p>
    <w:p>
      <w:pPr>
        <w:numPr>
          <w:ilvl w:val="0"/>
          <w:numId w:val="1008"/>
        </w:numPr>
        <w:pStyle w:val="Compact"/>
      </w:pPr>
      <w:r>
        <w:rPr>
          <w:bCs/>
          <w:b/>
        </w:rPr>
        <w:t xml:space="preserve">Scope 1 Emissions:</w:t>
      </w:r>
      <w:r>
        <w:t xml:space="preserve"> </w:t>
      </w:r>
      <w:r>
        <w:t xml:space="preserve">Direct emissions from owned or controlled sources. For this "factory_gate" boundary without explicit fossil fuel combustion data, Scope 1 is considered negligible or zero.</w:t>
      </w:r>
    </w:p>
    <w:p>
      <w:pPr>
        <w:numPr>
          <w:ilvl w:val="0"/>
          <w:numId w:val="1008"/>
        </w:numPr>
        <w:pStyle w:val="Compact"/>
      </w:pPr>
      <w:r>
        <w:rPr>
          <w:bCs/>
          <w:b/>
        </w:rPr>
        <w:t xml:space="preserve">Scope 2 Emissions:</w:t>
      </w:r>
      <w:r>
        <w:t xml:space="preserve"> </w:t>
      </w:r>
      <w:r>
        <w:t xml:space="preserve">Indirect emissions from the generation of purchased energy.</w:t>
      </w:r>
    </w:p>
    <w:p>
      <w:pPr>
        <w:numPr>
          <w:ilvl w:val="1"/>
          <w:numId w:val="1009"/>
        </w:numPr>
        <w:pStyle w:val="Compact"/>
      </w:pPr>
      <w:r>
        <w:t xml:space="preserve">Total Scope 2:</w:t>
      </w:r>
    </w:p>
    <w:p>
      <w:pPr>
        <w:numPr>
          <w:ilvl w:val="1"/>
          <w:numId w:val="1000"/>
        </w:numPr>
        <w:pStyle w:val="Compact"/>
      </w:pPr>
      <w:r>
        <w:t xml:space="preserve">kg CO2e</w:t>
      </w:r>
    </w:p>
    <w:p>
      <w:pPr>
        <w:numPr>
          <w:ilvl w:val="0"/>
          <w:numId w:val="1008"/>
        </w:numPr>
        <w:pStyle w:val="Compact"/>
      </w:pPr>
      <w:r>
        <w:rPr>
          <w:bCs/>
          <w:b/>
        </w:rPr>
        <w:t xml:space="preserve">Scope 3 Emissions:</w:t>
      </w:r>
      <w:r>
        <w:t xml:space="preserve"> </w:t>
      </w:r>
      <w:r>
        <w:t xml:space="preserve">All other indirect emissions that occur in a company’s value chain.</w:t>
      </w:r>
    </w:p>
    <w:p>
      <w:pPr>
        <w:numPr>
          <w:ilvl w:val="1"/>
          <w:numId w:val="1010"/>
        </w:numPr>
        <w:pStyle w:val="Compact"/>
      </w:pPr>
      <w:r>
        <w:t xml:space="preserve">Upstream (Material Acquisition, Upstream Transport):</w:t>
      </w:r>
    </w:p>
    <w:p>
      <w:pPr>
        <w:numPr>
          <w:ilvl w:val="1"/>
          <w:numId w:val="1000"/>
        </w:numPr>
        <w:pStyle w:val="Compact"/>
      </w:pPr>
      <w:r>
        <w:t xml:space="preserve">kg CO2e</w:t>
      </w:r>
    </w:p>
    <w:p>
      <w:pPr>
        <w:numPr>
          <w:ilvl w:val="1"/>
          <w:numId w:val="1010"/>
        </w:numPr>
        <w:pStyle w:val="Compact"/>
      </w:pPr>
      <w:r>
        <w:t xml:space="preserve">Downstream (Downstream Transport, Use Phase, End-of-Life):</w:t>
      </w:r>
    </w:p>
    <w:p>
      <w:pPr>
        <w:numPr>
          <w:ilvl w:val="1"/>
          <w:numId w:val="1000"/>
        </w:numPr>
        <w:pStyle w:val="Compact"/>
      </w:pPr>
      <w:r>
        <w:t xml:space="preserve">kg CO2e</w:t>
      </w:r>
    </w:p>
    <w:p>
      <w:pPr>
        <w:numPr>
          <w:ilvl w:val="1"/>
          <w:numId w:val="1010"/>
        </w:numPr>
        <w:pStyle w:val="Compact"/>
      </w:pPr>
      <w:r>
        <w:t xml:space="preserve">Total Scope 3:</w:t>
      </w:r>
    </w:p>
    <w:p>
      <w:pPr>
        <w:numPr>
          <w:ilvl w:val="1"/>
          <w:numId w:val="1000"/>
        </w:numPr>
        <w:pStyle w:val="Compact"/>
      </w:pPr>
      <w:r>
        <w:t xml:space="preserve">kg CO2e</w:t>
      </w:r>
    </w:p>
    <w:p>
      <w:pPr>
        <w:pStyle w:val="FirstParagraph"/>
      </w:pPr>
      <w:r>
        <w:rPr>
          <w:bCs/>
          <w:b/>
        </w:rPr>
        <w:t xml:space="preserve">Scope 3 Compliance:</w:t>
      </w:r>
      <w:r>
        <w:t xml:space="preserve"> </w:t>
      </w:r>
      <w:r>
        <w:t xml:space="preserve">This analysis targets over 95% coverage for Scope 3 reporting, encompassing significant upstream and downstream categories. Material acquisition and energy use dominate the upstream, while product distribution, use-phase energy, and end-of-life treatment constitute the bulk of downstream emissions. Missing categories (e.g., capital goods, business travel, employee commuting, waste from operations beyond the product\'s EoL) are assumed to be minor relative to the covered categories for a product-level assessment.</w:t>
      </w:r>
    </w:p>
    <w:bookmarkEnd w:id="32"/>
    <w:bookmarkStart w:id="33" w:name="X504f4a86e01fdcfa46a4589bb1b5e0cfaad8629"/>
    <w:p>
      <w:pPr>
        <w:pStyle w:val="Heading3"/>
      </w:pPr>
      <w:r>
        <w:t xml:space="preserve">4.4 2026 Land Sector and Removals (LSR) Standard Update</w:t>
      </w:r>
    </w:p>
    <w:p>
      <w:pPr>
        <w:pStyle w:val="FirstParagraph"/>
      </w:pPr>
      <w:r>
        <w:t xml:space="preserve">The GHG Protocol\'s 2026 LSR Standard is applied by acknowledging land use change and potential carbon removals. While this product (kjmumyzplr) does not directly involve land-use intensive processes or direct removals in its manufacturing, the upstream material acquisition (e.g., wood-based materials, if any, and their origin) and any bio-based components would fall under this standard. The "Total Carbon" figures in the BOM are assumed to incorporate these considerations if the original emission factors were derived with LSR principles. For a more direct application, detailed sourcing data for agricultural/forestry products would be required. The inclusion of recycling credits in End-of-Life indirectly supports circularity, which can reduce demand for virgin materials, thus impacting land use.</w:t>
      </w:r>
    </w:p>
    <w:p>
      <w:r>
        <w:pict>
          <v:rect style="width:0;height:1.5pt" o:hralign="center" o:hrstd="t" o:hr="t"/>
        </w:pict>
      </w:r>
    </w:p>
    <w:bookmarkEnd w:id="33"/>
    <w:bookmarkEnd w:id="34"/>
    <w:bookmarkStart w:id="38" w:name="review-report"/>
    <w:p>
      <w:pPr>
        <w:pStyle w:val="Heading2"/>
      </w:pPr>
      <w:r>
        <w:t xml:space="preserve">5. Review &amp; Report</w:t>
      </w:r>
    </w:p>
    <w:bookmarkStart w:id="35" w:name="emission-hotspots"/>
    <w:p>
      <w:pPr>
        <w:pStyle w:val="Heading3"/>
      </w:pPr>
      <w:r>
        <w:t xml:space="preserve">5.1 Emission Hotspots</w:t>
      </w:r>
    </w:p>
    <w:p>
      <w:pPr>
        <w:pStyle w:val="FirstParagraph"/>
      </w:pPr>
      <w:r>
        <w:t xml:space="preserve">The primary emission hotspots for kjmumyzplr are identified as:</w:t>
      </w:r>
    </w:p>
    <w:p>
      <w:pPr>
        <w:numPr>
          <w:ilvl w:val="0"/>
          <w:numId w:val="1011"/>
        </w:numPr>
        <w:pStyle w:val="Compact"/>
      </w:pPr>
      <w:r>
        <w:rPr>
          <w:bCs/>
          <w:b/>
        </w:rPr>
        <w:t xml:space="preserve">Material Acquisition &amp; Pre-processing:</w:t>
      </w:r>
      <w:r>
        <w:t xml:space="preserve"> </w:t>
      </w:r>
      <w:r>
        <w:t xml:space="preserve">This phase accounts for a significant portion of the footprint due to the inherent energy and resource intensity of producing raw materials, especially if they are virgin.</w:t>
      </w:r>
    </w:p>
    <w:p>
      <w:pPr>
        <w:numPr>
          <w:ilvl w:val="0"/>
          <w:numId w:val="1011"/>
        </w:numPr>
        <w:pStyle w:val="Compact"/>
      </w:pPr>
      <w:r>
        <w:rPr>
          <w:bCs/>
          <w:b/>
        </w:rPr>
        <w:t xml:space="preserve">Use Phase Energy Consumption:</w:t>
      </w:r>
      <w:r>
        <w:t xml:space="preserve"> </w:t>
      </w:r>
      <w:r>
        <w:t xml:space="preserve">Depending on the product\'s lifespan and energy demands, the electricity consumed during its operational life can be a major contributor, especially if sourced from high-carbon grids.</w:t>
      </w:r>
    </w:p>
    <w:p>
      <w:pPr>
        <w:numPr>
          <w:ilvl w:val="0"/>
          <w:numId w:val="1011"/>
        </w:numPr>
        <w:pStyle w:val="Compact"/>
      </w:pPr>
      <w:r>
        <w:rPr>
          <w:bCs/>
          <w:b/>
        </w:rPr>
        <w:t xml:space="preserve">Manufacturing Energy (Scope 2):</w:t>
      </w:r>
      <w:r>
        <w:t xml:space="preserve"> </w:t>
      </w:r>
      <w:r>
        <w:t xml:space="preserve">While partially offset by renewable energy usage, the grid electricity consumed in production still contributes substantially, highlighting the importance of transitioning to 100% renewable sources.</w:t>
      </w:r>
    </w:p>
    <w:bookmarkEnd w:id="35"/>
    <w:bookmarkStart w:id="36" w:name="reliability-and-limitations"/>
    <w:p>
      <w:pPr>
        <w:pStyle w:val="Heading3"/>
      </w:pPr>
      <w:r>
        <w:t xml:space="preserve">5.2 Reliability and Limitations</w:t>
      </w:r>
    </w:p>
    <w:p>
      <w:pPr>
        <w:pStyle w:val="FirstParagraph"/>
      </w:pPr>
      <w:r>
        <w:t xml:space="preserve">The reliability of this PCF analysis is high due to the use of specific product data (BOM, energy intensity) and adherence to the GHG Protocol. However, certain limitations exist:</w:t>
      </w:r>
    </w:p>
    <w:p>
      <w:pPr>
        <w:numPr>
          <w:ilvl w:val="0"/>
          <w:numId w:val="1012"/>
        </w:numPr>
        <w:pStyle w:val="Compact"/>
      </w:pPr>
      <w:r>
        <w:rPr>
          <w:bCs/>
          <w:b/>
        </w:rPr>
        <w:t xml:space="preserve">Generic Emission Factors:</w:t>
      </w:r>
      <w:r>
        <w:t xml:space="preserve"> </w:t>
      </w:r>
      <w:r>
        <w:t xml:space="preserve">While efforts were made to use representative factors, specific Ecoinvent or DEFRA database access was not utilized for every single process due to the nature of this simulated report. Assumed factors are based on general industry averages.</w:t>
      </w:r>
    </w:p>
    <w:p>
      <w:pPr>
        <w:numPr>
          <w:ilvl w:val="0"/>
          <w:numId w:val="1012"/>
        </w:numPr>
        <w:pStyle w:val="Compact"/>
      </w:pPr>
      <w:r>
        <w:rPr>
          <w:bCs/>
          <w:b/>
        </w:rPr>
        <w:t xml:space="preserve">Transport Mode and Distance Assumptions:</w:t>
      </w:r>
      <w:r>
        <w:t xml:space="preserve"> </w:t>
      </w:r>
      <w:r>
        <w:t xml:space="preserve">For "Select Mode", "Delivery Type", and specific distances (</w:t>
      </w:r>
      <w:r>
        <w:rPr>
          <w:rStyle w:val="VerbatimChar"/>
        </w:rPr>
        <w:t xml:space="preserve">zmxflxiqdo</w:t>
      </w:r>
      <w:r>
        <w:t xml:space="preserve">), assumptions were made where specific data was not provided. Actual transport logistics could vary, impacting emissions.</w:t>
      </w:r>
    </w:p>
    <w:p>
      <w:pPr>
        <w:numPr>
          <w:ilvl w:val="0"/>
          <w:numId w:val="1012"/>
        </w:numPr>
        <w:pStyle w:val="Compact"/>
      </w:pPr>
      <w:r>
        <w:rPr>
          <w:bCs/>
          <w:b/>
        </w:rPr>
        <w:t xml:space="preserve">End-of-Life Scenarios:</w:t>
      </w:r>
      <w:r>
        <w:t xml:space="preserve"> </w:t>
      </w:r>
      <w:r>
        <w:t xml:space="preserve">Recycling credits and landfill emission factors are based on industry averages and can vary significantly based on regional infrastructure and specific material processing efficiencies.</w:t>
      </w:r>
    </w:p>
    <w:p>
      <w:pPr>
        <w:numPr>
          <w:ilvl w:val="0"/>
          <w:numId w:val="1012"/>
        </w:numPr>
        <w:pStyle w:val="Compact"/>
      </w:pPr>
      <w:r>
        <w:rPr>
          <w:bCs/>
          <w:b/>
        </w:rPr>
        <w:t xml:space="preserve">Data Granularity for Scope 3:</w:t>
      </w:r>
      <w:r>
        <w:t xml:space="preserve"> </w:t>
      </w:r>
      <w:r>
        <w:t xml:space="preserve">While key Scope 3 categories are covered with &gt;95% target, minor upstream and downstream categories (e.g., capital goods, waste from operations, employee commuting) are not explicitly detailed in this product-level assessment.</w:t>
      </w:r>
    </w:p>
    <w:bookmarkEnd w:id="36"/>
    <w:bookmarkStart w:id="37" w:name="X788fbff7c021e2a678ac07c45b3966641b0fc80"/>
    <w:p>
      <w:pPr>
        <w:pStyle w:val="Heading3"/>
      </w:pPr>
      <w:r>
        <w:t xml:space="preserve">5.3 Recommendations for Carbon Footprint Reduction</w:t>
      </w:r>
    </w:p>
    <w:p>
      <w:pPr>
        <w:numPr>
          <w:ilvl w:val="0"/>
          <w:numId w:val="1013"/>
        </w:numPr>
        <w:pStyle w:val="Compact"/>
      </w:pPr>
      <w:r>
        <w:rPr>
          <w:bCs/>
          <w:b/>
        </w:rPr>
        <w:t xml:space="preserve">Material Optimization:</w:t>
      </w:r>
    </w:p>
    <w:p>
      <w:pPr>
        <w:numPr>
          <w:ilvl w:val="1"/>
          <w:numId w:val="1014"/>
        </w:numPr>
        <w:pStyle w:val="Compact"/>
      </w:pPr>
      <w:r>
        <w:t xml:space="preserve">Explore lighter-weight materials or materials with lower inherent carbon footprints (e.g., recycled content, bio-based alternatives with certified sustainable origins).</w:t>
      </w:r>
    </w:p>
    <w:p>
      <w:pPr>
        <w:numPr>
          <w:ilvl w:val="1"/>
          <w:numId w:val="1014"/>
        </w:numPr>
        <w:pStyle w:val="Compact"/>
      </w:pPr>
      <w:r>
        <w:t xml:space="preserve">Optimize product design to reduce material usage without compromising functionality.</w:t>
      </w:r>
    </w:p>
    <w:p>
      <w:pPr>
        <w:numPr>
          <w:ilvl w:val="0"/>
          <w:numId w:val="1013"/>
        </w:numPr>
        <w:pStyle w:val="Compact"/>
      </w:pPr>
      <w:r>
        <w:rPr>
          <w:bCs/>
          <w:b/>
        </w:rPr>
        <w:t xml:space="preserve">Renewable Energy Transition:</w:t>
      </w:r>
    </w:p>
    <w:p>
      <w:pPr>
        <w:numPr>
          <w:ilvl w:val="1"/>
          <w:numId w:val="1015"/>
        </w:numPr>
        <w:pStyle w:val="Compact"/>
      </w:pPr>
      <w:r>
        <w:t xml:space="preserve">Increase the percentage of renewable energy (</w:t>
      </w:r>
      <w:r>
        <w:rPr>
          <w:rStyle w:val="VerbatimChar"/>
        </w:rPr>
        <w:t xml:space="preserve">suxipvvlyu</w:t>
      </w:r>
      <w:r>
        <w:t xml:space="preserve">) used in manufacturing operations to 100%.</w:t>
      </w:r>
    </w:p>
    <w:p>
      <w:pPr>
        <w:numPr>
          <w:ilvl w:val="1"/>
          <w:numId w:val="1015"/>
        </w:numPr>
        <w:pStyle w:val="Compact"/>
      </w:pPr>
      <w:r>
        <w:t xml:space="preserve">Invest in or procure renewable energy credits (RECs) or Power Purchase Agreements (PPAs) for all operational electricity.</w:t>
      </w:r>
    </w:p>
    <w:p>
      <w:pPr>
        <w:numPr>
          <w:ilvl w:val="0"/>
          <w:numId w:val="1013"/>
        </w:numPr>
        <w:pStyle w:val="Compact"/>
      </w:pPr>
      <w:r>
        <w:rPr>
          <w:bCs/>
          <w:b/>
        </w:rPr>
        <w:t xml:space="preserve">Supply Chain Engagement:</w:t>
      </w:r>
    </w:p>
    <w:p>
      <w:pPr>
        <w:numPr>
          <w:ilvl w:val="1"/>
          <w:numId w:val="1016"/>
        </w:numPr>
        <w:pStyle w:val="Compact"/>
      </w:pPr>
      <w:r>
        <w:t xml:space="preserve">Collaborate with suppliers to collect primary emissions data and encourage their transition to lower-carbon manufacturing processes and renewable energy sources.</w:t>
      </w:r>
    </w:p>
    <w:p>
      <w:pPr>
        <w:numPr>
          <w:ilvl w:val="1"/>
          <w:numId w:val="1016"/>
        </w:numPr>
        <w:pStyle w:val="Compact"/>
      </w:pPr>
      <w:r>
        <w:t xml:space="preserve">Optimize logistics routes and modes (e.g., shifting from air to sea/rail, consolidating shipments) to reduce transport emissions.</w:t>
      </w:r>
    </w:p>
    <w:p>
      <w:pPr>
        <w:numPr>
          <w:ilvl w:val="0"/>
          <w:numId w:val="1013"/>
        </w:numPr>
        <w:pStyle w:val="Compact"/>
      </w:pPr>
      <w:r>
        <w:rPr>
          <w:bCs/>
          <w:b/>
        </w:rPr>
        <w:t xml:space="preserve">Use Phase Efficiency:</w:t>
      </w:r>
    </w:p>
    <w:p>
      <w:pPr>
        <w:numPr>
          <w:ilvl w:val="1"/>
          <w:numId w:val="1017"/>
        </w:numPr>
        <w:pStyle w:val="Compact"/>
      </w:pPr>
      <w:r>
        <w:t xml:space="preserve">Design kjmumyzplr for maximum energy efficiency during its operational lifespan (</w:t>
      </w:r>
      <w:r>
        <w:rPr>
          <w:rStyle w:val="VerbatimChar"/>
        </w:rPr>
        <w:t xml:space="preserve">tnmnsuwoiy</w:t>
      </w:r>
      <w:r>
        <w:t xml:space="preserve">,</w:t>
      </w:r>
      <w:r>
        <w:t xml:space="preserve"> </w:t>
      </w:r>
      <w:r>
        <w:rPr>
          <w:rStyle w:val="VerbatimChar"/>
        </w:rPr>
        <w:t xml:space="preserve">ehohlknisg</w:t>
      </w:r>
      <w:r>
        <w:t xml:space="preserve">).</w:t>
      </w:r>
    </w:p>
    <w:p>
      <w:pPr>
        <w:numPr>
          <w:ilvl w:val="1"/>
          <w:numId w:val="1017"/>
        </w:numPr>
        <w:pStyle w:val="Compact"/>
      </w:pPr>
      <w:r>
        <w:t xml:space="preserve">Provide clear user guidance on efficient product use and maintenance.</w:t>
      </w:r>
    </w:p>
    <w:p>
      <w:pPr>
        <w:numPr>
          <w:ilvl w:val="0"/>
          <w:numId w:val="1013"/>
        </w:numPr>
        <w:pStyle w:val="Compact"/>
      </w:pPr>
      <w:r>
        <w:rPr>
          <w:bCs/>
          <w:b/>
        </w:rPr>
        <w:t xml:space="preserve">Enhance Circularity:</w:t>
      </w:r>
    </w:p>
    <w:p>
      <w:pPr>
        <w:numPr>
          <w:ilvl w:val="1"/>
          <w:numId w:val="1018"/>
        </w:numPr>
        <w:pStyle w:val="Compact"/>
      </w:pPr>
      <w:r>
        <w:t xml:space="preserve">Further develop and promote take-back programs (</w:t>
      </w:r>
      <w:r>
        <w:rPr>
          <w:rStyle w:val="VerbatimChar"/>
        </w:rPr>
        <w:t xml:space="preserve">yvtgougemi</w:t>
      </w:r>
      <w:r>
        <w:t xml:space="preserve">) to ensure maximum recovery and high-quality recycling.</w:t>
      </w:r>
    </w:p>
    <w:p>
      <w:pPr>
        <w:numPr>
          <w:ilvl w:val="1"/>
          <w:numId w:val="1018"/>
        </w:numPr>
        <w:pStyle w:val="Compact"/>
      </w:pPr>
      <w:r>
        <w:t xml:space="preserve">Increase the recyclability percentage (</w:t>
      </w:r>
      <w:r>
        <w:rPr>
          <w:rStyle w:val="VerbatimChar"/>
        </w:rPr>
        <w:t xml:space="preserve">kpmwpjkkgu</w:t>
      </w:r>
      <w:r>
        <w:t xml:space="preserve">) through design for disassembly and material selection.</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kjmumyzplr</dc:title>
  <dc:creator/>
  <dc:description>Detailed Product Carbon Footprint (PCF) analysis report for kjmumyzplr, following GHG Protocol standards and 2026 LSR updates, conducted by zdqogidjzw for uqdseslugn.</dc:description>
  <cp:keywords/>
  <dcterms:created xsi:type="dcterms:W3CDTF">2026-07-15T19:39:17Z</dcterms:created>
  <dcterms:modified xsi:type="dcterms:W3CDTF">2026-07-15T19:39:17Z</dcterms:modified>
</cp:coreProperties>
</file>

<file path=docProps/custom.xml><?xml version="1.0" encoding="utf-8"?>
<Properties xmlns="http://schemas.openxmlformats.org/officeDocument/2006/custom-properties" xmlns:vt="http://schemas.openxmlformats.org/officeDocument/2006/docPropsVTypes"/>
</file>