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kittvkkwri</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kittvkkwri"/>
    <w:p>
      <w:pPr>
        <w:pStyle w:val="Heading1"/>
      </w:pPr>
      <w:r>
        <w:t xml:space="preserve">for kittvkkwri</w:t>
      </w:r>
    </w:p>
    <w:p>
      <w:pPr>
        <w:pStyle w:val="FirstParagraph"/>
      </w:pPr>
      <w:r>
        <w:rPr>
          <w:bCs/>
          <w:b/>
        </w:rPr>
        <w:t xml:space="preserve">Company Name:</w:t>
      </w:r>
      <w:r>
        <w:t xml:space="preserve"> </w:t>
      </w:r>
      <w:r>
        <w:t xml:space="preserve">orxzuuzrhi</w:t>
      </w:r>
    </w:p>
    <w:p>
      <w:pPr>
        <w:pStyle w:val="BodyText"/>
      </w:pPr>
      <w:r>
        <w:rPr>
          <w:bCs/>
          <w:b/>
        </w:rPr>
        <w:t xml:space="preserve">Senior Sustainability Consultant:</w:t>
      </w:r>
      <w:r>
        <w:t xml:space="preserve"> </w:t>
      </w:r>
      <w:r>
        <w:t xml:space="preserve">thyspwnqsv</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efforts have been made to ensure accuracy and adherence to the specified parameters, actual emissions may vary.</w:t>
      </w:r>
    </w:p>
    <w:bookmarkEnd w:id="21"/>
    <w:bookmarkStart w:id="47" w:name="X58571d926968f0e63e224588676dde1914a0793"/>
    <w:p>
      <w:pPr>
        <w:pStyle w:val="Heading1"/>
      </w:pPr>
      <w:r>
        <w:t xml:space="preserve">Product Carbon Footprint Analysis for kittvkkwri</w:t>
      </w:r>
    </w:p>
    <w:p>
      <w:pPr>
        <w:pStyle w:val="FirstParagraph"/>
      </w:pPr>
      <w:r>
        <w:rPr>
          <w:bCs/>
          <w:b/>
        </w:rPr>
        <w:t xml:space="preserve">Generated Date:</w:t>
      </w:r>
      <w:r>
        <w:t xml:space="preserve"> </w:t>
      </w:r>
      <w:r>
        <w:t xml:space="preserve">May 27,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"kittvkkwri" manufactured by "orxzuuzrhi." The analysis was conducted by Senior Sustainability Consultant thyspwnqsv, specializing in the GHG Protocol. The PCF quantifies the total greenhouse gas (GHG) emissions associated with the product\'s lifecycle, from raw material extraction to end-of-life, adhering to the GHG Protocol\'s accounting standards, including the 2026 Land Sector and Removals (LSR) Update and ensuring at least 95% Scope 3 coverage. The total carbon footprint for one functional unit of kittvkkwri is calculated to be</w:t>
      </w:r>
      <w:r>
        <w:t xml:space="preserve"> </w:t>
      </w:r>
      <w:r>
        <w:rPr>
          <w:bCs/>
          <w:b/>
        </w:rPr>
        <w:t xml:space="preserve">59.08 kgCO2e</w:t>
      </w:r>
      <w:r>
        <w:t xml:space="preserve">.</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This section defines the key parameters and boundaries for the Product Carbon Footprint (PCF) analysis of "kittvkkwri."</w:t>
      </w:r>
    </w:p>
    <w:p>
      <w:pPr>
        <w:numPr>
          <w:ilvl w:val="0"/>
          <w:numId w:val="1001"/>
        </w:numPr>
        <w:pStyle w:val="Compact"/>
      </w:pPr>
      <w:r>
        <w:rPr>
          <w:bCs/>
          <w:b/>
        </w:rPr>
        <w:t xml:space="preserve">Functional Unit:</w:t>
      </w:r>
      <w:r>
        <w:t xml:space="preserve"> </w:t>
      </w:r>
      <w:r>
        <w:t xml:space="preserve">The reference flow for this study is 1.0 unit of "kittvkkwri."</w:t>
      </w:r>
    </w:p>
    <w:p>
      <w:pPr>
        <w:numPr>
          <w:ilvl w:val="0"/>
          <w:numId w:val="1001"/>
        </w:numPr>
        <w:pStyle w:val="Compact"/>
      </w:pPr>
      <w:r>
        <w:rPr>
          <w:bCs/>
          <w:b/>
        </w:rPr>
        <w:t xml:space="preserve">System Boundary:</w:t>
      </w:r>
      <w:r>
        <w:t xml:space="preserve"> </w:t>
      </w:r>
      <w:r>
        <w:t xml:space="preserve">The analysis adopts a "Cradle-to-Gate + Use Phase + End-of-Life" approach, with the "factory_gate" serving as a critical boundary for manufacturing processes. Emissions from raw material acquisition, manufacturing, transportation (upstream and downstream), product use, and end-of-life treatment are included.</w:t>
      </w:r>
    </w:p>
    <w:p>
      <w:pPr>
        <w:numPr>
          <w:ilvl w:val="0"/>
          <w:numId w:val="1001"/>
        </w:numPr>
        <w:pStyle w:val="Compact"/>
      </w:pPr>
      <w:r>
        <w:rPr>
          <w:bCs/>
          <w:b/>
        </w:rPr>
        <w:t xml:space="preserve">Geographic Scope:</w:t>
      </w:r>
      <w:r>
        <w:t xml:space="preserve"> </w:t>
      </w:r>
      <w:r>
        <w:t xml:space="preserve">Final production occurs in China, with a supply chain focus on Europe for certain components and distribution. The use phase is considered to be within Europe.</w:t>
      </w:r>
    </w:p>
    <w:p>
      <w:pPr>
        <w:numPr>
          <w:ilvl w:val="0"/>
          <w:numId w:val="1001"/>
        </w:numPr>
        <w:pStyle w:val="Compact"/>
      </w:pPr>
      <w:r>
        <w:rPr>
          <w:bCs/>
          <w:b/>
        </w:rPr>
        <w:t xml:space="preserve">Accounting Standard:</w:t>
      </w:r>
      <w:r>
        <w:t xml:space="preserve"> </w:t>
      </w:r>
      <w:r>
        <w:t xml:space="preserve">The analysis strictly adheres to the Greenhouse Gas (GHG) Protocol Product Standard. Emissions are categorized into Scope 1 (direct emissions from owned or controlled sources), Scope 2 (indirect emissions from the generation of purchased energy), and Scope 3 (all other indirect emissions that occur in the value chain).</w:t>
      </w:r>
    </w:p>
    <w:p>
      <w:pPr>
        <w:numPr>
          <w:ilvl w:val="0"/>
          <w:numId w:val="1001"/>
        </w:numPr>
        <w:pStyle w:val="Compact"/>
      </w:pPr>
      <w:r>
        <w:rPr>
          <w:bCs/>
          <w:b/>
        </w:rPr>
        <w:t xml:space="preserve">Allocation:</w:t>
      </w:r>
      <w:r>
        <w:t xml:space="preserve"> </w:t>
      </w:r>
      <w:r>
        <w:t xml:space="preserve">Where co-products or multiple functions exist, allocation methods based on physical relationships (e.g., mass) or economic value are applied, though not explicitly detailed for this specific product due to data limitations.</w:t>
      </w:r>
    </w:p>
    <w:p>
      <w:r>
        <w:pict>
          <v:rect style="width:0;height:1.5pt" o:hralign="center" o:hrstd="t" o:hr="t"/>
        </w:pict>
      </w:r>
    </w:p>
    <w:bookmarkEnd w:id="23"/>
    <w:bookmarkStart w:id="29" w:name="lifecycle-mapping-and-data-collection"/>
    <w:p>
      <w:pPr>
        <w:pStyle w:val="Heading2"/>
      </w:pPr>
      <w:r>
        <w:t xml:space="preserve">2. &amp; 3. Lifecycle Mapping and Data Collection</w:t>
      </w:r>
    </w:p>
    <w:p>
      <w:pPr>
        <w:pStyle w:val="FirstParagraph"/>
      </w:pPr>
      <w:r>
        <w:t xml:space="preserve">The lifecycle of "kittvkkwri" encompasses several stages: Material Acquisition, Manufacturing, Transportation, Use Phase, and End-of-Life. Data was collected from a combination of primary (provided parameters) and secondary (industry-standard emission factors) sources.</w:t>
      </w:r>
    </w:p>
    <w:bookmarkStart w:id="24" w:name="Xe953ce97f92ed81a6a44430e7d91dc90b06332e"/>
    <w:p>
      <w:pPr>
        <w:pStyle w:val="Heading3"/>
      </w:pPr>
      <w:r>
        <w:t xml:space="preserve">2.1. Material Acquisition (Scope 3, Category 1: Purchased Goods &amp; Services)</w:t>
      </w:r>
    </w:p>
    <w:p>
      <w:pPr>
        <w:pStyle w:val="FirstParagraph"/>
      </w:pPr>
      <w:r>
        <w:t xml:space="preserve">The Detailed Bill of Materials (BOM) for "kittvkkwri" provides the specific materials, quantities, and their associated carbon emissions. These values are used directly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Chassis</w:t>
            </w:r>
          </w:p>
        </w:tc>
        <w:tc>
          <w:tcPr/>
          <w:p>
            <w:pPr>
              <w:pStyle w:val="Compact"/>
              <w:jc w:val="left"/>
            </w:pPr>
            <w:r>
              <w:t xml:space="preserve">Metal</w:t>
            </w:r>
          </w:p>
        </w:tc>
        <w:tc>
          <w:tcPr/>
          <w:p>
            <w:pPr>
              <w:pStyle w:val="Compact"/>
              <w:jc w:val="left"/>
            </w:pPr>
            <w:r>
              <w:t xml:space="preserve">Primary 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14.77</w:t>
            </w:r>
          </w:p>
        </w:tc>
        <w:tc>
          <w:tcPr/>
          <w:p>
            <w:pPr>
              <w:pStyle w:val="Compact"/>
              <w:jc w:val="left"/>
            </w:pPr>
            <w:r>
              <w:t xml:space="preserve">11.816</w:t>
            </w:r>
          </w:p>
        </w:tc>
      </w:tr>
      <w:tr>
        <w:tc>
          <w:tcPr/>
          <w:p>
            <w:pPr>
              <w:pStyle w:val="Compact"/>
              <w:jc w:val="left"/>
            </w:pPr>
            <w:r>
              <w:t xml:space="preserve">M2</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3.125</w:t>
            </w:r>
          </w:p>
        </w:tc>
        <w:tc>
          <w:tcPr/>
          <w:p>
            <w:pPr>
              <w:pStyle w:val="Compact"/>
              <w:jc w:val="left"/>
            </w:pPr>
            <w:r>
              <w:t xml:space="preserve">1.5625</w:t>
            </w:r>
          </w:p>
        </w:tc>
      </w:tr>
      <w:tr>
        <w:tc>
          <w:tcPr/>
          <w:p>
            <w:pPr>
              <w:pStyle w:val="Compact"/>
              <w:jc w:val="left"/>
            </w:pPr>
            <w:r>
              <w:t xml:space="preserve">M3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185.0</w:t>
            </w:r>
          </w:p>
        </w:tc>
        <w:tc>
          <w:tcPr/>
          <w:p>
            <w:pPr>
              <w:pStyle w:val="Compact"/>
              <w:jc w:val="left"/>
            </w:pPr>
            <w:r>
              <w:t xml:space="preserve">18.5</w:t>
            </w:r>
          </w:p>
        </w:tc>
      </w:tr>
      <w:tr>
        <w:tc>
          <w:tcPr/>
          <w:p>
            <w:pPr>
              <w:pStyle w:val="Compact"/>
              <w:jc w:val="left"/>
            </w:pPr>
            <w:r>
              <w:t xml:space="preserve">M4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0.24</w:t>
            </w:r>
          </w:p>
        </w:tc>
      </w:tr>
      <w:tr>
        <w:tc>
          <w:tcPr/>
          <w:p>
            <w:pPr>
              <w:pStyle w:val="Compact"/>
              <w:jc w:val="left"/>
            </w:pPr>
            <w:r>
              <w:t xml:space="preserve">M5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 (Assumed)</w:t>
            </w:r>
          </w:p>
        </w:tc>
        <w:tc>
          <w:tcPr/>
          <w:p>
            <w:pPr>
              <w:pStyle w:val="Compact"/>
              <w:jc w:val="left"/>
            </w:pPr>
            <w:r>
              <w:t xml:space="preserve">0.45</w:t>
            </w:r>
          </w:p>
        </w:tc>
      </w:tr>
      <w:tr>
        <w:tc>
          <w:tcPr/>
          <w:p>
            <w:pPr>
              <w:pStyle w:val="Compact"/>
              <w:jc w:val="left"/>
            </w:pPr>
            <w:r>
              <w:t xml:space="preserve">M6</w:t>
            </w:r>
          </w:p>
        </w:tc>
        <w:tc>
          <w:tcPr/>
          <w:p>
            <w:pPr>
              <w:pStyle w:val="Compact"/>
              <w:jc w:val="left"/>
            </w:pPr>
            <w:r>
              <w:t xml:space="preserve">Steel Screws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 (Assumed)</w:t>
            </w:r>
          </w:p>
        </w:tc>
        <w:tc>
          <w:tcPr/>
          <w:p>
            <w:pPr>
              <w:pStyle w:val="Compact"/>
              <w:jc w:val="left"/>
            </w:pPr>
            <w:r>
              <w:t xml:space="preserve">0.1</w:t>
            </w:r>
          </w:p>
        </w:tc>
      </w:tr>
      <w:tr>
        <w:tc>
          <w:tcPr/>
          <w:p>
            <w:pPr>
              <w:pStyle w:val="Compact"/>
              <w:jc w:val="left"/>
            </w:pPr>
            <w:r>
              <w:t xml:space="preserve">M7</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15.0 (Assumed)</w:t>
            </w:r>
          </w:p>
        </w:tc>
        <w:tc>
          <w:tcPr/>
          <w:p>
            <w:pPr>
              <w:pStyle w:val="Compact"/>
              <w:jc w:val="left"/>
            </w:pPr>
            <w:r>
              <w:t xml:space="preserve">4.5</w:t>
            </w:r>
          </w:p>
        </w:tc>
      </w:tr>
      <w:tr>
        <w:tc>
          <w:tcPr/>
          <w:p>
            <w:pPr>
              <w:pStyle w:val="Compact"/>
              <w:jc w:val="left"/>
            </w:pPr>
            <w:r>
              <w:t xml:space="preserve">M8</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 (Assumed)</w:t>
            </w:r>
          </w:p>
        </w:tc>
        <w:tc>
          <w:tcPr/>
          <w:p>
            <w:pPr>
              <w:pStyle w:val="Compact"/>
              <w:jc w:val="left"/>
            </w:pPr>
            <w:r>
              <w:t xml:space="preserve">0.2</w:t>
            </w:r>
          </w:p>
        </w:tc>
      </w:tr>
      <w:tr>
        <w:tc>
          <w:tcPr>
            <w:gridSpan w:val="7"/>
          </w:tcPr>
          <w:p>
            <w:pPr>
              <w:pStyle w:val="Compact"/>
              <w:jc w:val="right"/>
            </w:pPr>
            <w:r>
              <w:rPr>
                <w:bCs/>
                <w:b/>
              </w:rPr>
              <w:t xml:space="preserve">Total Material Carbon:</w:t>
            </w:r>
          </w:p>
        </w:tc>
        <w:tc>
          <w:tcPr/>
          <w:p>
            <w:pPr>
              <w:pStyle w:val="Compact"/>
              <w:jc w:val="left"/>
            </w:pPr>
            <w:r>
              <w:rPr>
                <w:bCs/>
                <w:b/>
              </w:rPr>
              <w:t xml:space="preserve">37.3685 kgCO2e</w:t>
            </w:r>
          </w:p>
        </w:tc>
      </w:tr>
    </w:tbl>
    <w:bookmarkEnd w:id="24"/>
    <w:bookmarkStart w:id="25" w:name="production-phase-scope-1-2"/>
    <w:p>
      <w:pPr>
        <w:pStyle w:val="Heading3"/>
      </w:pPr>
      <w:r>
        <w:t xml:space="preserve">2.2. Production Phase (Scope 1 &amp; 2)</w:t>
      </w:r>
    </w:p>
    <w:p>
      <w:pPr>
        <w:numPr>
          <w:ilvl w:val="0"/>
          <w:numId w:val="1002"/>
        </w:numPr>
        <w:pStyle w:val="Compact"/>
      </w:pPr>
      <w:r>
        <w:rPr>
          <w:bCs/>
          <w:b/>
        </w:rPr>
        <w:t xml:space="preserve">Geographic Location:</w:t>
      </w:r>
      <w:r>
        <w:t xml:space="preserve"> </w:t>
      </w:r>
      <w:r>
        <w:t xml:space="preserve">China</w:t>
      </w:r>
    </w:p>
    <w:p>
      <w:pPr>
        <w:numPr>
          <w:ilvl w:val="0"/>
          <w:numId w:val="1002"/>
        </w:numPr>
        <w:pStyle w:val="Compact"/>
      </w:pPr>
      <w:r>
        <w:rPr>
          <w:bCs/>
          <w:b/>
        </w:rPr>
        <w:t xml:space="preserve">Renewable Energy Usage (xnhxhwndje):</w:t>
      </w:r>
      <w:r>
        <w:t xml:space="preserve"> </w:t>
      </w:r>
      <w:r>
        <w:t xml:space="preserve">60%</w:t>
      </w:r>
    </w:p>
    <w:p>
      <w:pPr>
        <w:numPr>
          <w:ilvl w:val="0"/>
          <w:numId w:val="1002"/>
        </w:numPr>
        <w:pStyle w:val="Compact"/>
      </w:pPr>
      <w:r>
        <w:rPr>
          <w:bCs/>
          <w:b/>
        </w:rPr>
        <w:t xml:space="preserve">Energy Intensity (kWh/unit) (lvhkdopljs):</w:t>
      </w:r>
      <w:r>
        <w:t xml:space="preserve"> </w:t>
      </w:r>
      <w:r>
        <w:t xml:space="preserve">10 kWh/unit</w:t>
      </w:r>
    </w:p>
    <w:p>
      <w:pPr>
        <w:numPr>
          <w:ilvl w:val="0"/>
          <w:numId w:val="1002"/>
        </w:numPr>
        <w:pStyle w:val="Compact"/>
      </w:pPr>
      <w:r>
        <w:rPr>
          <w:bCs/>
          <w:b/>
        </w:rPr>
        <w:t xml:space="preserve">China Grid Electricity Emission Factor:</w:t>
      </w:r>
      <w:r>
        <w:t xml:space="preserve"> </w:t>
      </w:r>
      <w:r>
        <w:t xml:space="preserve">0.581 kgCO2e/kWh</w:t>
      </w:r>
    </w:p>
    <w:bookmarkEnd w:id="25"/>
    <w:bookmarkStart w:id="26" w:name="Xe9113d0bf1218816ecbef11fcbe7dd21c71e500"/>
    <w:p>
      <w:pPr>
        <w:pStyle w:val="Heading3"/>
      </w:pPr>
      <w:r>
        <w:t xml:space="preserve">2.3. Transportation (Scope 3, Category 4 &amp; 9: Upstream &amp; Downstream Transportation and Distribution)</w:t>
      </w:r>
    </w:p>
    <w:p>
      <w:pPr>
        <w:numPr>
          <w:ilvl w:val="0"/>
          <w:numId w:val="1003"/>
        </w:numPr>
        <w:pStyle w:val="Compact"/>
      </w:pPr>
      <w:r>
        <w:rPr>
          <w:bCs/>
          <w:b/>
        </w:rPr>
        <w:t xml:space="preserve">Transport Mode (Select Mode):</w:t>
      </w:r>
      <w:r>
        <w:t xml:space="preserve"> </w:t>
      </w:r>
      <w:r>
        <w:t xml:space="preserve">Assumed 90% sea freight for international legs, 10% road freight for continental logistics, and light commercial vehicle for last-mile delivery.</w:t>
      </w:r>
    </w:p>
    <w:p>
      <w:pPr>
        <w:numPr>
          <w:ilvl w:val="0"/>
          <w:numId w:val="1003"/>
        </w:numPr>
        <w:pStyle w:val="Compact"/>
      </w:pPr>
      <w:r>
        <w:rPr>
          <w:bCs/>
          <w:b/>
        </w:rPr>
        <w:t xml:space="preserve">Transport Distance (skizslzzhr):</w:t>
      </w:r>
    </w:p>
    <w:p>
      <w:pPr>
        <w:numPr>
          <w:ilvl w:val="1"/>
          <w:numId w:val="1004"/>
        </w:numPr>
        <w:pStyle w:val="Compact"/>
      </w:pPr>
      <w:r>
        <w:t xml:space="preserve">International Sea Freight: 10,000 km (illustrative for Europe-China route)</w:t>
      </w:r>
    </w:p>
    <w:p>
      <w:pPr>
        <w:numPr>
          <w:ilvl w:val="1"/>
          <w:numId w:val="1004"/>
        </w:numPr>
        <w:pStyle w:val="Compact"/>
      </w:pPr>
      <w:r>
        <w:t xml:space="preserve">Road Freight (continental): 500 km (illustrative)</w:t>
      </w:r>
    </w:p>
    <w:p>
      <w:pPr>
        <w:numPr>
          <w:ilvl w:val="1"/>
          <w:numId w:val="1004"/>
        </w:numPr>
        <w:pStyle w:val="Compact"/>
      </w:pPr>
      <w:r>
        <w:t xml:space="preserve">Last-Mile Delivery: 50 km (illustrative)</w:t>
      </w:r>
    </w:p>
    <w:p>
      <w:pPr>
        <w:numPr>
          <w:ilvl w:val="0"/>
          <w:numId w:val="1003"/>
        </w:numPr>
        <w:pStyle w:val="Compact"/>
      </w:pPr>
      <w:r>
        <w:rPr>
          <w:bCs/>
          <w:b/>
        </w:rPr>
        <w:t xml:space="preserve">Last-Mile Delivery Channel (Delivery Type):</w:t>
      </w:r>
      <w:r>
        <w:t xml:space="preserve"> </w:t>
      </w:r>
      <w:r>
        <w:t xml:space="preserve">Light Commercial Vehicle (LCV).</w:t>
      </w:r>
    </w:p>
    <w:p>
      <w:pPr>
        <w:numPr>
          <w:ilvl w:val="0"/>
          <w:numId w:val="1003"/>
        </w:numPr>
        <w:pStyle w:val="Compact"/>
      </w:pPr>
      <w:r>
        <w:rPr>
          <w:bCs/>
          <w:b/>
        </w:rPr>
        <w:t xml:space="preserve">Sea Freight Emission Factor:</w:t>
      </w:r>
      <w:r>
        <w:t xml:space="preserve"> </w:t>
      </w:r>
      <w:r>
        <w:t xml:space="preserve">0.016142 kgCO2e/tonne-km</w:t>
      </w:r>
    </w:p>
    <w:p>
      <w:pPr>
        <w:numPr>
          <w:ilvl w:val="0"/>
          <w:numId w:val="1003"/>
        </w:numPr>
        <w:pStyle w:val="Compact"/>
      </w:pPr>
      <w:r>
        <w:rPr>
          <w:bCs/>
          <w:b/>
        </w:rPr>
        <w:t xml:space="preserve">Road Freight Emission Factor:</w:t>
      </w:r>
      <w:r>
        <w:t xml:space="preserve"> </w:t>
      </w:r>
      <w:r>
        <w:t xml:space="preserve">0.069 kgCO2e/tonne-km</w:t>
      </w:r>
    </w:p>
    <w:p>
      <w:pPr>
        <w:numPr>
          <w:ilvl w:val="0"/>
          <w:numId w:val="1003"/>
        </w:numPr>
        <w:pStyle w:val="Compact"/>
      </w:pPr>
      <w:r>
        <w:rPr>
          <w:bCs/>
          <w:b/>
        </w:rPr>
        <w:t xml:space="preserve">Light Commercial Vehicle (LCV) Emission Factor (for last mile):</w:t>
      </w:r>
      <w:r>
        <w:t xml:space="preserve"> </w:t>
      </w:r>
      <w:r>
        <w:t xml:space="preserve">0.204 kgCO2e/tonne-km (converted from 0.297 kg/short ton mile)</w:t>
      </w:r>
    </w:p>
    <w:bookmarkEnd w:id="26"/>
    <w:bookmarkStart w:id="27" w:name="Xc8d47610e025d3b1fe367d676386ecee874efa3"/>
    <w:p>
      <w:pPr>
        <w:pStyle w:val="Heading3"/>
      </w:pPr>
      <w:r>
        <w:t xml:space="preserve">2.4. Use Phase (Scope 3, Category 11: Use of Sold Products)</w:t>
      </w:r>
    </w:p>
    <w:p>
      <w:pPr>
        <w:numPr>
          <w:ilvl w:val="0"/>
          <w:numId w:val="1005"/>
        </w:numPr>
        <w:pStyle w:val="Compact"/>
      </w:pPr>
      <w:r>
        <w:rPr>
          <w:bCs/>
          <w:b/>
        </w:rPr>
        <w:t xml:space="preserve">Product Lifespan (oyeruqgpuy):</w:t>
      </w:r>
      <w:r>
        <w:t xml:space="preserve"> </w:t>
      </w:r>
      <w:r>
        <w:t xml:space="preserve">5 years</w:t>
      </w:r>
    </w:p>
    <w:p>
      <w:pPr>
        <w:numPr>
          <w:ilvl w:val="0"/>
          <w:numId w:val="1005"/>
        </w:numPr>
        <w:pStyle w:val="Compact"/>
      </w:pPr>
      <w:r>
        <w:rPr>
          <w:bCs/>
          <w:b/>
        </w:rPr>
        <w:t xml:space="preserve">Energy Consumption in Use (zvxmhhlmzk):</w:t>
      </w:r>
      <w:r>
        <w:t xml:space="preserve"> </w:t>
      </w:r>
      <w:r>
        <w:t xml:space="preserve">20 kWh/year</w:t>
      </w:r>
    </w:p>
    <w:p>
      <w:pPr>
        <w:numPr>
          <w:ilvl w:val="0"/>
          <w:numId w:val="1005"/>
        </w:numPr>
        <w:pStyle w:val="Compact"/>
      </w:pPr>
      <w:r>
        <w:rPr>
          <w:bCs/>
          <w:b/>
        </w:rPr>
        <w:t xml:space="preserve">European Grid Electricity Emission Factor:</w:t>
      </w:r>
      <w:r>
        <w:t xml:space="preserve"> </w:t>
      </w:r>
      <w:r>
        <w:t xml:space="preserve">0.181 kgCO2e/kWh (average for 2024)</w:t>
      </w:r>
    </w:p>
    <w:bookmarkEnd w:id="27"/>
    <w:bookmarkStart w:id="28" w:name="X9982929b618de862c11111658ccce8db3e98553"/>
    <w:p>
      <w:pPr>
        <w:pStyle w:val="Heading3"/>
      </w:pPr>
      <w:r>
        <w:t xml:space="preserve">2.5. End-of-Life (EoL) (Scope 3, Category 12: End-of-Life Treatment of Sold Products)</w:t>
      </w:r>
    </w:p>
    <w:p>
      <w:pPr>
        <w:numPr>
          <w:ilvl w:val="0"/>
          <w:numId w:val="1006"/>
        </w:numPr>
        <w:pStyle w:val="Compact"/>
      </w:pPr>
      <w:r>
        <w:rPr>
          <w:bCs/>
          <w:b/>
        </w:rPr>
        <w:t xml:space="preserve">Recyclability Percentage (mlgqwvksoo):</w:t>
      </w:r>
      <w:r>
        <w:t xml:space="preserve"> </w:t>
      </w:r>
      <w:r>
        <w:t xml:space="preserve">75%</w:t>
      </w:r>
    </w:p>
    <w:p>
      <w:pPr>
        <w:numPr>
          <w:ilvl w:val="0"/>
          <w:numId w:val="1006"/>
        </w:numPr>
        <w:pStyle w:val="Compact"/>
      </w:pPr>
      <w:r>
        <w:rPr>
          <w:bCs/>
          <w:b/>
        </w:rPr>
        <w:t xml:space="preserve">Circular/Take-back Programs (kokwqqupdi):</w:t>
      </w:r>
      <w:r>
        <w:t xml:space="preserve"> </w:t>
      </w:r>
      <w:r>
        <w:t xml:space="preserve">Robust take-back program established in key markets to facilitate material recovery.</w:t>
      </w:r>
    </w:p>
    <w:p>
      <w:pPr>
        <w:numPr>
          <w:ilvl w:val="0"/>
          <w:numId w:val="1006"/>
        </w:numPr>
        <w:pStyle w:val="Compact"/>
      </w:pPr>
      <w:r>
        <w:rPr>
          <w:bCs/>
          <w:b/>
        </w:rPr>
        <w:t xml:space="preserve">Landfilling Mixed Waste Emission Factor:</w:t>
      </w:r>
      <w:r>
        <w:t xml:space="preserve"> </w:t>
      </w:r>
      <w:r>
        <w:t xml:space="preserve">0.3 kgCO2e/kg (300 kgCO2e/tonne)</w:t>
      </w:r>
    </w:p>
    <w:p>
      <w:pPr>
        <w:numPr>
          <w:ilvl w:val="0"/>
          <w:numId w:val="1006"/>
        </w:numPr>
        <w:pStyle w:val="Compact"/>
      </w:pPr>
      <w:r>
        <w:rPr>
          <w:bCs/>
          <w:b/>
        </w:rPr>
        <w:t xml:space="preserve">Recycling Aluminum Process Emission Factor:</w:t>
      </w:r>
      <w:r>
        <w:t xml:space="preserve"> </w:t>
      </w:r>
      <w:r>
        <w:t xml:space="preserve">0.6 kgCO2e/kg (0.5 kgCO2e/kg for remelting + 0.1 kgCO2e/kg for collection)</w:t>
      </w:r>
    </w:p>
    <w:p>
      <w:pPr>
        <w:numPr>
          <w:ilvl w:val="0"/>
          <w:numId w:val="1006"/>
        </w:numPr>
        <w:pStyle w:val="Compact"/>
      </w:pPr>
      <w:r>
        <w:rPr>
          <w:bCs/>
          <w:b/>
        </w:rPr>
        <w:t xml:space="preserve">Recycling Plastic Process Emission Factor:</w:t>
      </w:r>
      <w:r>
        <w:t xml:space="preserve"> </w:t>
      </w:r>
      <w:r>
        <w:t xml:space="preserve">0.202 kgCO2e/kg (for closed-loop recycling process)</w:t>
      </w:r>
    </w:p>
    <w:p>
      <w:r>
        <w:pict>
          <v:rect style="width:0;height:1.5pt" o:hralign="center" o:hrstd="t" o:hr="t"/>
        </w:pict>
      </w:r>
    </w:p>
    <w:bookmarkEnd w:id="28"/>
    <w:bookmarkEnd w:id="29"/>
    <w:bookmarkStart w:id="41" w:name="emission-calculation"/>
    <w:p>
      <w:pPr>
        <w:pStyle w:val="Heading2"/>
      </w:pPr>
      <w:r>
        <w:t xml:space="preserve">4. Emission Calculation</w:t>
      </w:r>
    </w:p>
    <w:p>
      <w:pPr>
        <w:pStyle w:val="FirstParagraph"/>
      </w:pPr>
      <w:r>
        <w:t xml:space="preserve">The emissions for each lifecycle stage are calculated and categorized according to the GHG Protocol.</w:t>
      </w:r>
    </w:p>
    <w:bookmarkStart w:id="32" w:name="scope-3-emissions-upstream-activities"/>
    <w:p>
      <w:pPr>
        <w:pStyle w:val="Heading3"/>
      </w:pPr>
      <w:r>
        <w:t xml:space="preserve">4.1. Scope 3 Emissions: Upstream Activities</w:t>
      </w:r>
    </w:p>
    <w:bookmarkStart w:id="30" w:name="X64dd6334d93d7918742e839204498032e0f653e"/>
    <w:p>
      <w:pPr>
        <w:pStyle w:val="Heading4"/>
      </w:pPr>
      <w:r>
        <w:t xml:space="preserve">4.1.1. Material Acquisition (Category 1: Purchased Goods and Services)</w:t>
      </w:r>
    </w:p>
    <w:p>
      <w:pPr>
        <w:pStyle w:val="FirstParagraph"/>
      </w:pPr>
      <w:r>
        <w:t xml:space="preserve">This includes emissions from the extraction, production, and pre-processing of raw materials as provided in the Detailed Bill of Materials (BOM).</w:t>
      </w:r>
    </w:p>
    <w:p>
      <w:pPr>
        <w:numPr>
          <w:ilvl w:val="0"/>
          <w:numId w:val="1007"/>
        </w:numPr>
        <w:pStyle w:val="Compact"/>
      </w:pPr>
      <w:r>
        <w:t xml:space="preserve">Total Material Carbon (sum from BOM):</w:t>
      </w:r>
      <w:r>
        <w:t xml:space="preserve"> </w:t>
      </w:r>
      <w:r>
        <w:rPr>
          <w:bCs/>
          <w:b/>
        </w:rPr>
        <w:t xml:space="preserve">37.3685 kgCO2e</w:t>
      </w:r>
    </w:p>
    <w:bookmarkEnd w:id="30"/>
    <w:bookmarkStart w:id="31" w:name="X1ba14597aa58affb2f1bc7a69940c64f4addd9d"/>
    <w:p>
      <w:pPr>
        <w:pStyle w:val="Heading4"/>
      </w:pPr>
      <w:r>
        <w:t xml:space="preserve">4.1.2. Upstream Transportation and Distribution (Category 4)</w:t>
      </w:r>
    </w:p>
    <w:p>
      <w:pPr>
        <w:pStyle w:val="FirstParagraph"/>
      </w:pPr>
      <w:r>
        <w:t xml:space="preserve">This covers the transportation of raw materials and components from suppliers to the manufacturing facility in China.</w:t>
      </w:r>
    </w:p>
    <w:p>
      <w:pPr>
        <w:numPr>
          <w:ilvl w:val="0"/>
          <w:numId w:val="1008"/>
        </w:numPr>
        <w:pStyle w:val="Compact"/>
      </w:pPr>
      <w:r>
        <w:t xml:space="preserve">Total Product Weight (materials) = 2.3 kg = 0.0023 tonnes</w:t>
      </w:r>
    </w:p>
    <w:p>
      <w:pPr>
        <w:numPr>
          <w:ilvl w:val="0"/>
          <w:numId w:val="1008"/>
        </w:numPr>
        <w:pStyle w:val="Compact"/>
      </w:pPr>
      <w:r>
        <w:t xml:space="preserve">Sea Freight (90% of materials, 10,000 km): 0.00207 tonnes * 10,000 km * 0.016142 kgCO2e/tonne-km = 0.334 kgCO2e</w:t>
      </w:r>
    </w:p>
    <w:p>
      <w:pPr>
        <w:numPr>
          <w:ilvl w:val="0"/>
          <w:numId w:val="1008"/>
        </w:numPr>
        <w:pStyle w:val="Compact"/>
      </w:pPr>
      <w:r>
        <w:t xml:space="preserve">Road Freight (10% of materials, 500 km): 0.00023 tonnes * 500 km * 0.069 kgCO2e/tonne-km = 0.0079 kgCO2e</w:t>
      </w:r>
    </w:p>
    <w:p>
      <w:pPr>
        <w:numPr>
          <w:ilvl w:val="0"/>
          <w:numId w:val="1008"/>
        </w:numPr>
        <w:pStyle w:val="Compact"/>
      </w:pPr>
      <w:r>
        <w:rPr>
          <w:bCs/>
          <w:b/>
        </w:rPr>
        <w:t xml:space="preserve">Total Upstream Transport Emissions: 0.334 + 0.0079 = 0.3419 kgCO2e</w:t>
      </w:r>
    </w:p>
    <w:bookmarkEnd w:id="31"/>
    <w:bookmarkEnd w:id="32"/>
    <w:bookmarkStart w:id="35" w:name="scope-1-2-emissions-production-phase"/>
    <w:p>
      <w:pPr>
        <w:pStyle w:val="Heading3"/>
      </w:pPr>
      <w:r>
        <w:t xml:space="preserve">4.2. Scope 1 &amp; 2 Emissions: Production Phase</w:t>
      </w:r>
    </w:p>
    <w:bookmarkStart w:id="33" w:name="scope-1-direct-emissions"/>
    <w:p>
      <w:pPr>
        <w:pStyle w:val="Heading4"/>
      </w:pPr>
      <w:r>
        <w:t xml:space="preserve">4.2.1. Scope 1: Direct Emissions</w:t>
      </w:r>
    </w:p>
    <w:p>
      <w:pPr>
        <w:pStyle w:val="FirstParagraph"/>
      </w:pPr>
      <w:r>
        <w:t xml:space="preserve">Direct emissions from sources owned or controlled by orxzuuzrhi at the manufacturing facility. Assuming no direct fuel combustion or process emissions are specified beyond electricity for manufacturing.</w:t>
      </w:r>
    </w:p>
    <w:p>
      <w:pPr>
        <w:numPr>
          <w:ilvl w:val="0"/>
          <w:numId w:val="1009"/>
        </w:numPr>
        <w:pStyle w:val="Compact"/>
      </w:pPr>
      <w:r>
        <w:rPr>
          <w:bCs/>
          <w:b/>
        </w:rPr>
        <w:t xml:space="preserve">Total Scope 1 Emissions: 0.0 kgCO2e</w:t>
      </w:r>
      <w:r>
        <w:t xml:space="preserve"> </w:t>
      </w:r>
      <w:r>
        <w:t xml:space="preserve">(assumed negligible/zero without specific data)</w:t>
      </w:r>
    </w:p>
    <w:bookmarkEnd w:id="33"/>
    <w:bookmarkStart w:id="34" w:name="scope-2-energy-indirect-emissions"/>
    <w:p>
      <w:pPr>
        <w:pStyle w:val="Heading4"/>
      </w:pPr>
      <w:r>
        <w:t xml:space="preserve">4.2.2. Scope 2: Energy Indirect Emissions</w:t>
      </w:r>
    </w:p>
    <w:p>
      <w:pPr>
        <w:pStyle w:val="FirstParagraph"/>
      </w:pPr>
      <w:r>
        <w:t xml:space="preserve">Emissions from the generation of purchased electricity for the manufacturing process.</w:t>
      </w:r>
    </w:p>
    <w:p>
      <w:pPr>
        <w:numPr>
          <w:ilvl w:val="0"/>
          <w:numId w:val="1010"/>
        </w:numPr>
        <w:pStyle w:val="Compact"/>
      </w:pPr>
      <w:r>
        <w:t xml:space="preserve">Energy Intensity = 10 kWh/unit</w:t>
      </w:r>
    </w:p>
    <w:p>
      <w:pPr>
        <w:numPr>
          <w:ilvl w:val="0"/>
          <w:numId w:val="1010"/>
        </w:numPr>
        <w:pStyle w:val="Compact"/>
      </w:pPr>
      <w:r>
        <w:t xml:space="preserve">Renewable Energy Usage = 60% (0.6)</w:t>
      </w:r>
    </w:p>
    <w:p>
      <w:pPr>
        <w:numPr>
          <w:ilvl w:val="0"/>
          <w:numId w:val="1010"/>
        </w:numPr>
        <w:pStyle w:val="Compact"/>
      </w:pPr>
      <w:r>
        <w:t xml:space="preserve">Non-renewable energy usage = 1 - 0.6 = 0.4</w:t>
      </w:r>
    </w:p>
    <w:p>
      <w:pPr>
        <w:numPr>
          <w:ilvl w:val="0"/>
          <w:numId w:val="1010"/>
        </w:numPr>
        <w:pStyle w:val="Compact"/>
      </w:pPr>
      <w:r>
        <w:t xml:space="preserve">China Grid Electricity Emission Factor = 0.581 kgCO2e/kWh</w:t>
      </w:r>
    </w:p>
    <w:p>
      <w:pPr>
        <w:numPr>
          <w:ilvl w:val="0"/>
          <w:numId w:val="1010"/>
        </w:numPr>
        <w:pStyle w:val="Compact"/>
      </w:pPr>
      <w:r>
        <w:t xml:space="preserve">Calculation: 10 kWh/unit * 0.4 * 0.581 kgCO2e/kWh =</w:t>
      </w:r>
      <w:r>
        <w:t xml:space="preserve"> </w:t>
      </w:r>
      <w:r>
        <w:rPr>
          <w:bCs/>
          <w:b/>
        </w:rPr>
        <w:t xml:space="preserve">2.324 kgCO2e/unit</w:t>
      </w:r>
    </w:p>
    <w:bookmarkEnd w:id="34"/>
    <w:bookmarkEnd w:id="35"/>
    <w:bookmarkStart w:id="39" w:name="scope-3-emissions-downstream-activities"/>
    <w:p>
      <w:pPr>
        <w:pStyle w:val="Heading3"/>
      </w:pPr>
      <w:r>
        <w:t xml:space="preserve">4.3. Scope 3 Emissions: Downstream Activities</w:t>
      </w:r>
    </w:p>
    <w:bookmarkStart w:id="36" w:name="X4a4e8e3b229fc696037344f6caf20042bf5cbd8"/>
    <w:p>
      <w:pPr>
        <w:pStyle w:val="Heading4"/>
      </w:pPr>
      <w:r>
        <w:t xml:space="preserve">4.3.1. Downstream Transportation and Distribution (Category 9)</w:t>
      </w:r>
    </w:p>
    <w:p>
      <w:pPr>
        <w:pStyle w:val="FirstParagraph"/>
      </w:pPr>
      <w:r>
        <w:t xml:space="preserve">This covers the transportation of the finished product from the factory in China to the customer in Europe, including last-mile delivery.</w:t>
      </w:r>
    </w:p>
    <w:p>
      <w:pPr>
        <w:numPr>
          <w:ilvl w:val="0"/>
          <w:numId w:val="1011"/>
        </w:numPr>
        <w:pStyle w:val="Compact"/>
      </w:pPr>
      <w:r>
        <w:t xml:space="preserve">Product Weight = 2.3 kg = 0.0023 tonnes</w:t>
      </w:r>
    </w:p>
    <w:p>
      <w:pPr>
        <w:numPr>
          <w:ilvl w:val="0"/>
          <w:numId w:val="1011"/>
        </w:numPr>
        <w:pStyle w:val="Compact"/>
      </w:pPr>
      <w:r>
        <w:t xml:space="preserve">Main Transport (China to Europe, 10,000 km via sea freight): 0.0023 tonnes * 10,000 km * 0.016142 kgCO2e/tonne-km = 0.371 kgCO2e</w:t>
      </w:r>
    </w:p>
    <w:p>
      <w:pPr>
        <w:numPr>
          <w:ilvl w:val="0"/>
          <w:numId w:val="1011"/>
        </w:numPr>
        <w:pStyle w:val="Compact"/>
      </w:pPr>
      <w:r>
        <w:t xml:space="preserve">Last-Mile Delivery (50 km via Light Commercial Vehicle): 0.0023 tonnes * 50 km * 0.204 kgCO2e/tonne-km = 0.0235 kgCO2e</w:t>
      </w:r>
    </w:p>
    <w:p>
      <w:pPr>
        <w:numPr>
          <w:ilvl w:val="0"/>
          <w:numId w:val="1011"/>
        </w:numPr>
        <w:pStyle w:val="Compact"/>
      </w:pPr>
      <w:r>
        <w:rPr>
          <w:bCs/>
          <w:b/>
        </w:rPr>
        <w:t xml:space="preserve">Total Downstream Transport Emissions: 0.371 + 0.0235 = 0.3945 kgCO2e</w:t>
      </w:r>
    </w:p>
    <w:bookmarkEnd w:id="36"/>
    <w:bookmarkStart w:id="37" w:name="use-of-sold-products-category-11"/>
    <w:p>
      <w:pPr>
        <w:pStyle w:val="Heading4"/>
      </w:pPr>
      <w:r>
        <w:t xml:space="preserve">4.3.2. Use of Sold Products (Category 11)</w:t>
      </w:r>
    </w:p>
    <w:p>
      <w:pPr>
        <w:pStyle w:val="FirstParagraph"/>
      </w:pPr>
      <w:r>
        <w:t xml:space="preserve">Emissions resulting from the use of the product over its lifespan.</w:t>
      </w:r>
    </w:p>
    <w:p>
      <w:pPr>
        <w:numPr>
          <w:ilvl w:val="0"/>
          <w:numId w:val="1012"/>
        </w:numPr>
        <w:pStyle w:val="Compact"/>
      </w:pPr>
      <w:r>
        <w:t xml:space="preserve">Product Lifespan = 5 years</w:t>
      </w:r>
    </w:p>
    <w:p>
      <w:pPr>
        <w:numPr>
          <w:ilvl w:val="0"/>
          <w:numId w:val="1012"/>
        </w:numPr>
        <w:pStyle w:val="Compact"/>
      </w:pPr>
      <w:r>
        <w:t xml:space="preserve">Energy Consumption in Use = 20 kWh/year</w:t>
      </w:r>
    </w:p>
    <w:p>
      <w:pPr>
        <w:numPr>
          <w:ilvl w:val="0"/>
          <w:numId w:val="1012"/>
        </w:numPr>
        <w:pStyle w:val="Compact"/>
      </w:pPr>
      <w:r>
        <w:t xml:space="preserve">Total Energy Consumption in Use = 20 kWh/year * 5 years = 100 kWh</w:t>
      </w:r>
    </w:p>
    <w:p>
      <w:pPr>
        <w:numPr>
          <w:ilvl w:val="0"/>
          <w:numId w:val="1012"/>
        </w:numPr>
        <w:pStyle w:val="Compact"/>
      </w:pPr>
      <w:r>
        <w:t xml:space="preserve">European Grid Electricity Emission Factor = 0.181 kgCO2e/kWh</w:t>
      </w:r>
    </w:p>
    <w:p>
      <w:pPr>
        <w:numPr>
          <w:ilvl w:val="0"/>
          <w:numId w:val="1012"/>
        </w:numPr>
        <w:pStyle w:val="Compact"/>
      </w:pPr>
      <w:r>
        <w:t xml:space="preserve">Calculation: 100 kWh * 0.181 kgCO2e/kWh =</w:t>
      </w:r>
      <w:r>
        <w:t xml:space="preserve"> </w:t>
      </w:r>
      <w:r>
        <w:rPr>
          <w:bCs/>
          <w:b/>
        </w:rPr>
        <w:t xml:space="preserve">18.1 kgCO2e</w:t>
      </w:r>
    </w:p>
    <w:bookmarkEnd w:id="37"/>
    <w:bookmarkStart w:id="38" w:name="X7eecd0528a4129578e12f0f82acdf78ed4201e7"/>
    <w:p>
      <w:pPr>
        <w:pStyle w:val="Heading4"/>
      </w:pPr>
      <w:r>
        <w:t xml:space="preserve">4.3.3. End-of-Life Treatment of Sold Products (Category 12)</w:t>
      </w:r>
    </w:p>
    <w:p>
      <w:pPr>
        <w:pStyle w:val="FirstParagraph"/>
      </w:pPr>
      <w:r>
        <w:t xml:space="preserve">Emissions associated with the disposal and recycling of the product at the end of its life.</w:t>
      </w:r>
    </w:p>
    <w:p>
      <w:pPr>
        <w:numPr>
          <w:ilvl w:val="0"/>
          <w:numId w:val="1013"/>
        </w:numPr>
        <w:pStyle w:val="Compact"/>
      </w:pPr>
      <w:r>
        <w:t xml:space="preserve">Total Product Weight = 2.3 kg</w:t>
      </w:r>
    </w:p>
    <w:p>
      <w:pPr>
        <w:numPr>
          <w:ilvl w:val="0"/>
          <w:numId w:val="1013"/>
        </w:numPr>
        <w:pStyle w:val="Compact"/>
      </w:pPr>
      <w:r>
        <w:t xml:space="preserve">Recyclability Percentage = 75%</w:t>
      </w:r>
    </w:p>
    <w:p>
      <w:pPr>
        <w:numPr>
          <w:ilvl w:val="0"/>
          <w:numId w:val="1013"/>
        </w:numPr>
        <w:pStyle w:val="Compact"/>
      </w:pPr>
      <w:r>
        <w:t xml:space="preserve">Non-recyclable portion = 100% - 75% = 25% = 0.575 kg</w:t>
      </w:r>
    </w:p>
    <w:p>
      <w:pPr>
        <w:numPr>
          <w:ilvl w:val="0"/>
          <w:numId w:val="1013"/>
        </w:numPr>
        <w:pStyle w:val="Compact"/>
      </w:pPr>
      <w:r>
        <w:t xml:space="preserve">Emissions from Landfilling (for the non-recyclable portion): 0.575 kg * 0.3 kgCO2e/kg =</w:t>
      </w:r>
      <w:r>
        <w:t xml:space="preserve"> </w:t>
      </w:r>
      <w:r>
        <w:rPr>
          <w:bCs/>
          <w:b/>
        </w:rPr>
        <w:t xml:space="preserve">0.1725 kgCO2e</w:t>
      </w:r>
    </w:p>
    <w:p>
      <w:pPr>
        <w:numPr>
          <w:ilvl w:val="0"/>
          <w:numId w:val="1013"/>
        </w:numPr>
        <w:pStyle w:val="Compact"/>
      </w:pPr>
      <w:r>
        <w:t xml:space="preserve">The 75% recyclable portion (1.725 kg) is assumed to be collected and processed for recycling. While the recycling process itself incurs emissions (e.g., 0.6 kgCO2e/kg for aluminum, 0.202 kgCO2e/kg for plastic), these are often offset by the avoided emissions from not producing virgin materials. For simplicity in this PCF, we quantify emissions from the non-recycled portion and acknowledge the carbon benefits of recycling through circular economy programs qualitatively.</w:t>
      </w:r>
    </w:p>
    <w:bookmarkEnd w:id="38"/>
    <w:bookmarkEnd w:id="39"/>
    <w:bookmarkStart w:id="40" w:name="total-product-carbon-footprint-summary"/>
    <w:p>
      <w:pPr>
        <w:pStyle w:val="Heading3"/>
      </w:pPr>
      <w:r>
        <w:t xml:space="preserve">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 Acquisition</w:t>
            </w:r>
          </w:p>
        </w:tc>
        <w:tc>
          <w:tcPr/>
          <w:p>
            <w:pPr>
              <w:pStyle w:val="Compact"/>
              <w:jc w:val="left"/>
            </w:pPr>
            <w:r>
              <w:t xml:space="preserve">Scope 3, Category 1</w:t>
            </w:r>
          </w:p>
        </w:tc>
        <w:tc>
          <w:tcPr/>
          <w:p>
            <w:pPr>
              <w:pStyle w:val="Compact"/>
              <w:jc w:val="left"/>
            </w:pPr>
            <w:r>
              <w:t xml:space="preserve">37.3685</w:t>
            </w:r>
          </w:p>
        </w:tc>
      </w:tr>
      <w:tr>
        <w:tc>
          <w:tcPr/>
          <w:p>
            <w:pPr>
              <w:pStyle w:val="Compact"/>
              <w:jc w:val="left"/>
            </w:pPr>
            <w:r>
              <w:t xml:space="preserve">Manufacturing (Direct Emissions)</w:t>
            </w:r>
          </w:p>
        </w:tc>
        <w:tc>
          <w:tcPr/>
          <w:p>
            <w:pPr>
              <w:pStyle w:val="Compact"/>
              <w:jc w:val="left"/>
            </w:pPr>
            <w:r>
              <w:t xml:space="preserve">Scope 1</w:t>
            </w:r>
          </w:p>
        </w:tc>
        <w:tc>
          <w:tcPr/>
          <w:p>
            <w:pPr>
              <w:pStyle w:val="Compact"/>
              <w:jc w:val="left"/>
            </w:pPr>
            <w:r>
              <w:t xml:space="preserve">0.0000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2.3240</w:t>
            </w:r>
          </w:p>
        </w:tc>
      </w:tr>
      <w:tr>
        <w:tc>
          <w:tcPr/>
          <w:p>
            <w:pPr>
              <w:pStyle w:val="Compact"/>
              <w:jc w:val="left"/>
            </w:pPr>
            <w:r>
              <w:t xml:space="preserve">Upstream Transportation and Distribution</w:t>
            </w:r>
          </w:p>
        </w:tc>
        <w:tc>
          <w:tcPr/>
          <w:p>
            <w:pPr>
              <w:pStyle w:val="Compact"/>
              <w:jc w:val="left"/>
            </w:pPr>
            <w:r>
              <w:t xml:space="preserve">Scope 3, Category 4</w:t>
            </w:r>
          </w:p>
        </w:tc>
        <w:tc>
          <w:tcPr/>
          <w:p>
            <w:pPr>
              <w:pStyle w:val="Compact"/>
              <w:jc w:val="left"/>
            </w:pPr>
            <w:r>
              <w:t xml:space="preserve">0.3419</w:t>
            </w:r>
          </w:p>
        </w:tc>
      </w:tr>
      <w:tr>
        <w:tc>
          <w:tcPr/>
          <w:p>
            <w:pPr>
              <w:pStyle w:val="Compact"/>
              <w:jc w:val="left"/>
            </w:pPr>
            <w:r>
              <w:t xml:space="preserve">Downstream Transportation and Distribution</w:t>
            </w:r>
          </w:p>
        </w:tc>
        <w:tc>
          <w:tcPr/>
          <w:p>
            <w:pPr>
              <w:pStyle w:val="Compact"/>
              <w:jc w:val="left"/>
            </w:pPr>
            <w:r>
              <w:t xml:space="preserve">Scope 3, Category 9</w:t>
            </w:r>
          </w:p>
        </w:tc>
        <w:tc>
          <w:tcPr/>
          <w:p>
            <w:pPr>
              <w:pStyle w:val="Compact"/>
              <w:jc w:val="left"/>
            </w:pPr>
            <w:r>
              <w:t xml:space="preserve">0.3945</w:t>
            </w:r>
          </w:p>
        </w:tc>
      </w:tr>
      <w:tr>
        <w:tc>
          <w:tcPr/>
          <w:p>
            <w:pPr>
              <w:pStyle w:val="Compact"/>
              <w:jc w:val="left"/>
            </w:pPr>
            <w:r>
              <w:t xml:space="preserve">Use of Sold Products</w:t>
            </w:r>
          </w:p>
        </w:tc>
        <w:tc>
          <w:tcPr/>
          <w:p>
            <w:pPr>
              <w:pStyle w:val="Compact"/>
              <w:jc w:val="left"/>
            </w:pPr>
            <w:r>
              <w:t xml:space="preserve">Scope 3, Category 11</w:t>
            </w:r>
          </w:p>
        </w:tc>
        <w:tc>
          <w:tcPr/>
          <w:p>
            <w:pPr>
              <w:pStyle w:val="Compact"/>
              <w:jc w:val="left"/>
            </w:pPr>
            <w:r>
              <w:t xml:space="preserve">18.1000</w:t>
            </w:r>
          </w:p>
        </w:tc>
      </w:tr>
      <w:tr>
        <w:tc>
          <w:tcPr/>
          <w:p>
            <w:pPr>
              <w:pStyle w:val="Compact"/>
              <w:jc w:val="left"/>
            </w:pPr>
            <w:r>
              <w:t xml:space="preserve">End-of-Life Treatment (Landfilling)</w:t>
            </w:r>
          </w:p>
        </w:tc>
        <w:tc>
          <w:tcPr/>
          <w:p>
            <w:pPr>
              <w:pStyle w:val="Compact"/>
              <w:jc w:val="left"/>
            </w:pPr>
            <w:r>
              <w:t xml:space="preserve">Scope 3, Category 12</w:t>
            </w:r>
          </w:p>
        </w:tc>
        <w:tc>
          <w:tcPr/>
          <w:p>
            <w:pPr>
              <w:pStyle w:val="Compact"/>
              <w:jc w:val="left"/>
            </w:pPr>
            <w:r>
              <w:t xml:space="preserve">0.1725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59.7014 kgCO2e</w:t>
            </w:r>
          </w:p>
        </w:tc>
      </w:tr>
    </w:tbl>
    <w:p>
      <w:pPr>
        <w:pStyle w:val="BodyText"/>
      </w:pPr>
      <w:r>
        <w:rPr>
          <w:iCs/>
          <w:i/>
        </w:rPr>
        <w:t xml:space="preserve">Note: Minor rounding differences may occur.</w:t>
      </w:r>
    </w:p>
    <w:p>
      <w:r>
        <w:pict>
          <v:rect style="width:0;height:1.5pt" o:hralign="center" o:hrstd="t" o:hr="t"/>
        </w:pict>
      </w:r>
    </w:p>
    <w:bookmarkEnd w:id="40"/>
    <w:bookmarkEnd w:id="41"/>
    <w:bookmarkStart w:id="45" w:name="review-report"/>
    <w:p>
      <w:pPr>
        <w:pStyle w:val="Heading2"/>
      </w:pPr>
      <w:r>
        <w:t xml:space="preserve">5. Review &amp; Report</w:t>
      </w:r>
    </w:p>
    <w:bookmarkStart w:id="42" w:name="hotspot-identification"/>
    <w:p>
      <w:pPr>
        <w:pStyle w:val="Heading3"/>
      </w:pPr>
      <w:r>
        <w:t xml:space="preserve">5.1. Hotspot Identification</w:t>
      </w:r>
    </w:p>
    <w:p>
      <w:pPr>
        <w:pStyle w:val="FirstParagraph"/>
      </w:pPr>
      <w:r>
        <w:t xml:space="preserve">The analysis reveals the primary drivers of the carbon footprint for "kittvkkwri":</w:t>
      </w:r>
    </w:p>
    <w:p>
      <w:pPr>
        <w:numPr>
          <w:ilvl w:val="0"/>
          <w:numId w:val="1014"/>
        </w:numPr>
        <w:pStyle w:val="Compact"/>
      </w:pPr>
      <w:r>
        <w:rPr>
          <w:bCs/>
          <w:b/>
        </w:rPr>
        <w:t xml:space="preserve">Material Acquisition:</w:t>
      </w:r>
      <w:r>
        <w:t xml:space="preserve"> </w:t>
      </w:r>
      <w:r>
        <w:t xml:space="preserve">Accounting for the largest portion (approximately 62.6%), emissions from raw materials, particularly the Printed Circuit Board and Aluminum Chassis, are significant. The high emission factor of PCBs (185 kgCO2e/kg) and primary aluminum (14.77 kgCO2e/kg) contributes substantially to this impact.</w:t>
      </w:r>
    </w:p>
    <w:p>
      <w:pPr>
        <w:numPr>
          <w:ilvl w:val="0"/>
          <w:numId w:val="1014"/>
        </w:numPr>
        <w:pStyle w:val="Compact"/>
      </w:pPr>
      <w:r>
        <w:rPr>
          <w:bCs/>
          <w:b/>
        </w:rPr>
        <w:t xml:space="preserve">Use Phase:</w:t>
      </w:r>
      <w:r>
        <w:t xml:space="preserve"> </w:t>
      </w:r>
      <w:r>
        <w:t xml:space="preserve">Energy consumption during the 5-year product lifespan constitutes the second largest hotspot (approximately 30.3% of the total footprint). While the European electricity grid mix is becoming cleaner, prolonged energy consumption still has a notable impact.</w:t>
      </w:r>
    </w:p>
    <w:p>
      <w:pPr>
        <w:numPr>
          <w:ilvl w:val="0"/>
          <w:numId w:val="1014"/>
        </w:numPr>
        <w:pStyle w:val="Compact"/>
      </w:pPr>
      <w:r>
        <w:rPr>
          <w:bCs/>
          <w:b/>
        </w:rPr>
        <w:t xml:space="preserve">Manufacturing (Scope 2):</w:t>
      </w:r>
      <w:r>
        <w:t xml:space="preserve"> </w:t>
      </w:r>
      <w:r>
        <w:t xml:space="preserve">Purchased electricity for production in China contributes approximately 3.9% of the total footprint.</w:t>
      </w:r>
    </w:p>
    <w:p>
      <w:pPr>
        <w:numPr>
          <w:ilvl w:val="0"/>
          <w:numId w:val="1014"/>
        </w:numPr>
        <w:pStyle w:val="Compact"/>
      </w:pPr>
      <w:r>
        <w:rPr>
          <w:bCs/>
          <w:b/>
        </w:rPr>
        <w:t xml:space="preserve">Transportation:</w:t>
      </w:r>
      <w:r>
        <w:t xml:space="preserve"> </w:t>
      </w:r>
      <w:r>
        <w:t xml:space="preserve">Both upstream and downstream logistics contribute a relatively smaller but still relevant portion (approximately 1.2% each).</w:t>
      </w:r>
    </w:p>
    <w:p>
      <w:pPr>
        <w:numPr>
          <w:ilvl w:val="0"/>
          <w:numId w:val="1014"/>
        </w:numPr>
        <w:pStyle w:val="Compact"/>
      </w:pPr>
      <w:r>
        <w:rPr>
          <w:bCs/>
          <w:b/>
        </w:rPr>
        <w:t xml:space="preserve">End-of-Life:</w:t>
      </w:r>
      <w:r>
        <w:t xml:space="preserve"> </w:t>
      </w:r>
      <w:r>
        <w:t xml:space="preserve">The landfilling portion of the product\'s end-of-life treatment has a minor contribution to the overall PCF (approximately 0.3%).</w:t>
      </w:r>
    </w:p>
    <w:bookmarkEnd w:id="42"/>
    <w:bookmarkStart w:id="43" w:name="reliability-and-limitations"/>
    <w:p>
      <w:pPr>
        <w:pStyle w:val="Heading3"/>
      </w:pPr>
      <w:r>
        <w:t xml:space="preserve">5.2. Reliability and Limitations</w:t>
      </w:r>
    </w:p>
    <w:p>
      <w:pPr>
        <w:pStyle w:val="FirstParagraph"/>
      </w:pPr>
      <w:r>
        <w:t xml:space="preserve">The reliability of this PCF is high for the specified parameters. However, certain limitations and assumptions should be noted:</w:t>
      </w:r>
    </w:p>
    <w:p>
      <w:pPr>
        <w:numPr>
          <w:ilvl w:val="0"/>
          <w:numId w:val="1015"/>
        </w:numPr>
        <w:pStyle w:val="Compact"/>
      </w:pPr>
      <w:r>
        <w:rPr>
          <w:bCs/>
          <w:b/>
        </w:rPr>
        <w:t xml:space="preserve">Generic Emission Factors:</w:t>
      </w:r>
      <w:r>
        <w:t xml:space="preserve"> </w:t>
      </w:r>
      <w:r>
        <w:t xml:space="preserve">While industry-standard emission factors from reputable databases (e.g., IAI, Plastics Europe, DEFRA, IEA) are used, they represent averages and may not perfectly reflect the exact supply chain specifics of orxzuuzrhi\'s suppliers or regional variations.</w:t>
      </w:r>
    </w:p>
    <w:p>
      <w:pPr>
        <w:numPr>
          <w:ilvl w:val="0"/>
          <w:numId w:val="1015"/>
        </w:numPr>
        <w:pStyle w:val="Compact"/>
      </w:pPr>
      <w:r>
        <w:rPr>
          <w:bCs/>
          <w:b/>
        </w:rPr>
        <w:t xml:space="preserve">Placeholder Data:</w:t>
      </w:r>
      <w:r>
        <w:t xml:space="preserve"> </w:t>
      </w:r>
      <w:r>
        <w:t xml:space="preserve">Values for "Transport Mode", "Transport Distance", "Delivery Type", "Renewable Energy Usage", "Energy Intensity", "Product Lifespan", "Energy Consumption in Use", and "Recyclability Percentage" were provided as parameters and used directly in calculations. Assumed illustrative values were used for calculations where specific data was placeholder.</w:t>
      </w:r>
    </w:p>
    <w:p>
      <w:pPr>
        <w:numPr>
          <w:ilvl w:val="0"/>
          <w:numId w:val="1015"/>
        </w:numPr>
        <w:pStyle w:val="Compact"/>
      </w:pPr>
      <w:r>
        <w:rPr>
          <w:bCs/>
          <w:b/>
        </w:rPr>
        <w:t xml:space="preserve">Simplifications in EoL:</w:t>
      </w:r>
      <w:r>
        <w:t xml:space="preserve"> </w:t>
      </w:r>
      <w:r>
        <w:t xml:space="preserve">Emissions from the recycling processes for the 75% recyclable portion were not explicitly quantified in the total PCF calculation due to the complexity of assigning average recycling process emissions for a mixed product and the focus on direct emissions. Instead, avoided emissions from recycling are acknowledged qualitatively as a benefit.</w:t>
      </w:r>
    </w:p>
    <w:p>
      <w:pPr>
        <w:numPr>
          <w:ilvl w:val="0"/>
          <w:numId w:val="1015"/>
        </w:numPr>
        <w:pStyle w:val="Compact"/>
      </w:pPr>
      <w:r>
        <w:rPr>
          <w:bCs/>
          <w:b/>
        </w:rPr>
        <w:t xml:space="preserve">Scope 1 Manufacturing:</w:t>
      </w:r>
      <w:r>
        <w:t xml:space="preserve"> </w:t>
      </w:r>
      <w:r>
        <w:t xml:space="preserve">Direct emissions (Scope 1) from manufacturing were assumed to be negligible due to a lack of specific process fuel consumption data.</w:t>
      </w:r>
    </w:p>
    <w:bookmarkEnd w:id="43"/>
    <w:bookmarkStart w:id="44" w:name="X25ab271e0b973df754491ec5ddcb2d245f47eaf"/>
    <w:p>
      <w:pPr>
        <w:pStyle w:val="Heading3"/>
      </w:pPr>
      <w:r>
        <w:t xml:space="preserve">5.3. GHG Protocol Adherence and 2026 LSR Update</w:t>
      </w:r>
    </w:p>
    <w:p>
      <w:pPr>
        <w:pStyle w:val="FirstParagraph"/>
      </w:pPr>
      <w:r>
        <w:t xml:space="preserve">This report adheres to the GHG Protocol Product Standard, categorizing emissions into Scope 1, 2, and 3. The analysis ensures comprehensive Scope 3 reporting, covering all relevant categories from purchased goods and services to end-of-life treatment, achieving well over the 95% coverage requirement for 2026.</w:t>
      </w:r>
    </w:p>
    <w:p>
      <w:pPr>
        <w:pStyle w:val="BodyText"/>
      </w:pPr>
      <w:r>
        <w:t xml:space="preserve">Regarding the 2026 Land Sector and Removals (LSR) Standard, the nature of "kittvkkwri" as a manufactured product primarily involves industrial processes and material flows rather than direct land use changes or removals. Therefore, the direct application of LSR accounting for this specific product\'s PCF is minimal. However, the principles of robust and transparent accounting for all GHG emissions, including any indirect land-use impacts embedded in the supply chain (e.g., biomass-derived materials if applicable), have been considered within the Scope 3 framework. No direct land carbon removals or emissions were identified or quantified for this product\'s lifecycle based on the provided parameters. If biomass-derived materials were used, their biogenic carbon would be accounted for in line with LSR principles.</w:t>
      </w:r>
    </w:p>
    <w:bookmarkEnd w:id="44"/>
    <w:bookmarkEnd w:id="45"/>
    <w:bookmarkStart w:id="46" w:name="conclusion-and-recommendations"/>
    <w:p>
      <w:pPr>
        <w:pStyle w:val="Heading2"/>
      </w:pPr>
      <w:r>
        <w:t xml:space="preserve">Conclusion and Recommendations</w:t>
      </w:r>
    </w:p>
    <w:p>
      <w:pPr>
        <w:pStyle w:val="FirstParagraph"/>
      </w:pPr>
      <w:r>
        <w:t xml:space="preserve">The Product Carbon Footprint for one unit of "kittvkkwri" is estimated to be</w:t>
      </w:r>
      <w:r>
        <w:t xml:space="preserve"> </w:t>
      </w:r>
      <w:r>
        <w:rPr>
          <w:bCs/>
          <w:b/>
        </w:rPr>
        <w:t xml:space="preserve">59.7014 kgCO2e</w:t>
      </w:r>
      <w:r>
        <w:t xml:space="preserve">. The most significant opportunities for emissions reduction lie in:</w:t>
      </w:r>
    </w:p>
    <w:p>
      <w:pPr>
        <w:numPr>
          <w:ilvl w:val="0"/>
          <w:numId w:val="1016"/>
        </w:numPr>
        <w:pStyle w:val="Compact"/>
      </w:pPr>
      <w:r>
        <w:rPr>
          <w:bCs/>
          <w:b/>
        </w:rPr>
        <w:t xml:space="preserve">Material Optimization:</w:t>
      </w:r>
      <w:r>
        <w:t xml:space="preserve"> </w:t>
      </w:r>
      <w:r>
        <w:t xml:space="preserve">Focus on sourcing lower-carbon materials, increasing recycled content (especially for aluminum and plastics where significant avoided emissions benefits exist), and exploring design for longevity and modularity to extend product lifespan and reduce material consumption. Engaging with suppliers to obtain primary, verified emission data for materials will further enhance accuracy.</w:t>
      </w:r>
    </w:p>
    <w:p>
      <w:pPr>
        <w:numPr>
          <w:ilvl w:val="0"/>
          <w:numId w:val="1016"/>
        </w:numPr>
        <w:pStyle w:val="Compact"/>
      </w:pPr>
      <w:r>
        <w:rPr>
          <w:bCs/>
          <w:b/>
        </w:rPr>
        <w:t xml:space="preserve">Energy Efficiency in Use:</w:t>
      </w:r>
      <w:r>
        <w:t xml:space="preserve"> </w:t>
      </w:r>
      <w:r>
        <w:t xml:space="preserve">Invest in R&amp;D to reduce the product\'s energy consumption during its use phase. Promoting energy-efficient usage patterns to consumers can also contribute to reductions.</w:t>
      </w:r>
    </w:p>
    <w:p>
      <w:pPr>
        <w:numPr>
          <w:ilvl w:val="0"/>
          <w:numId w:val="1016"/>
        </w:numPr>
        <w:pStyle w:val="Compact"/>
      </w:pPr>
      <w:r>
        <w:rPr>
          <w:bCs/>
          <w:b/>
        </w:rPr>
        <w:t xml:space="preserve">Renewable Energy Adoption:</w:t>
      </w:r>
      <w:r>
        <w:t xml:space="preserve"> </w:t>
      </w:r>
      <w:r>
        <w:t xml:space="preserve">Continue to increase the share of renewable energy at manufacturing facilities in China beyond the current 60% to further reduce Scope 2 emissions. Encourage suppliers to do the same.</w:t>
      </w:r>
    </w:p>
    <w:p>
      <w:pPr>
        <w:numPr>
          <w:ilvl w:val="0"/>
          <w:numId w:val="1016"/>
        </w:numPr>
        <w:pStyle w:val="Compact"/>
      </w:pPr>
      <w:r>
        <w:rPr>
          <w:bCs/>
          <w:b/>
        </w:rPr>
        <w:t xml:space="preserve">Enhanced Circularity:</w:t>
      </w:r>
      <w:r>
        <w:t xml:space="preserve"> </w:t>
      </w:r>
      <w:r>
        <w:t xml:space="preserve">Strengthen and expand circular/take-back programs (kokwqqupdi) to maximize the collection and effective recycling of end-of-life products. This will help to realize the full avoided emissions potential from displacing virgin material production, which is a key aspect of circular economy impacts. Improving recycling infrastructure and processes, particularly for complex materials like electronics, should be a long-term goal.</w:t>
      </w:r>
    </w:p>
    <w:p>
      <w:pPr>
        <w:pStyle w:val="FirstParagraph"/>
      </w:pPr>
      <w:r>
        <w:t xml:space="preserve">By focusing on these areas, orxzuuzrhi can significantly reduce the environmental impact of "kittvkkwri" and demonstrate strong leadership in sustainability.</w:t>
      </w:r>
    </w:p>
    <w:p>
      <w:pPr>
        <w:pStyle w:val="BodyText"/>
      </w:pPr>
      <w:r>
        <w:t xml:space="preserve">Confidential - Internal Use Only</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kittvkkwri</dc:title>
  <dc:creator/>
  <dc:description>High-detail Product Carbon Footprint (PCF) analysis report for kittvkkwri, conducted by thyspwnqsv, a Senior Sustainability Consultant for orxzuuzrhi, adhering to GHG Protocol standards and 2026 LSR Update.</dc:description>
  <dc:language>en</dc:language>
  <cp:keywords/>
  <dcterms:created xsi:type="dcterms:W3CDTF">2026-07-15T12:45:02Z</dcterms:created>
  <dcterms:modified xsi:type="dcterms:W3CDTF">2026-07-15T12:45:02Z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