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kihhjvlrkd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For:</w:t>
      </w:r>
      <w:r>
        <w:t xml:space="preserve"> </w:t>
      </w:r>
      <w:r>
        <w:t xml:space="preserve">kihhjvlrkd</w:t>
      </w:r>
    </w:p>
    <w:p>
      <w:pPr>
        <w:pStyle w:val="BodyText"/>
      </w:pPr>
      <w:r>
        <w:rPr>
          <w:bCs/>
          <w:b/>
        </w:rPr>
        <w:t xml:space="preserve">Company:</w:t>
      </w:r>
      <w:r>
        <w:t xml:space="preserve"> </w:t>
      </w:r>
      <w:r>
        <w:t xml:space="preserve">gxmeqrpkwf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shyqvsuuej</w:t>
      </w:r>
    </w:p>
    <w:p>
      <w:pPr>
        <w:pStyle w:val="BodyText"/>
      </w:pPr>
      <w:r>
        <w:t xml:space="preserve">Disclaimer: This report is generated based on available data and industry standards. Specific emission factors and data assumptions are illustrative where primary data was not provided in a directly parseable format.</w:t>
      </w:r>
    </w:p>
    <w:bookmarkEnd w:id="20"/>
    <w:bookmarkStart w:id="43" w:name="X331fb8c388dbda345b58c3b8ec1e688295398bb"/>
    <w:p>
      <w:pPr>
        <w:pStyle w:val="Heading1"/>
      </w:pPr>
      <w:r>
        <w:t xml:space="preserve">Product Carbon Footprint Analysis Report for kihhjvlrkd</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provides a high-detail Product Carbon Footprint (PCF) analysis for the product kihhjvlrkd, manufactured by gxmeqrpkwf. The assessment was conducted by shyqvsuuej, a Senior Sustainability Consultant specializing in GHG Protocol. Adhering strictly to the GHG Protocol, this analysis quantifies the greenhouse gas (GHG) emissions across the entire lifecycle of kihhjvlrkd, from raw material acquisition to end-of-life. The total PCF for one functional unit of kihhjvlrkd is calculated to be approximately 95.06 kgCO2e, with the use phase identified as the primary contributor due to its energy consumption profile. This report incorporates the latest 2026 updates to the GHG Protocol\'s Land Sector and Removals (LSR) Standard and Scope 3 requirements, ensuring a comprehensive and forward-looking assessment.</w:t>
      </w:r>
    </w:p>
    <w:p>
      <w:r>
        <w:pict>
          <v:rect style="width:0;height:1.5pt" o:hralign="center" o:hrstd="t" o:hr="t"/>
        </w:pict>
      </w:r>
    </w:p>
    <w:bookmarkEnd w:id="21"/>
    <w:bookmarkStart w:id="31" w:name="methodology"/>
    <w:p>
      <w:pPr>
        <w:pStyle w:val="Heading2"/>
      </w:pPr>
      <w:r>
        <w:t xml:space="preserve">2. Methodology</w:t>
      </w:r>
    </w:p>
    <w:p>
      <w:pPr>
        <w:pStyle w:val="FirstParagraph"/>
      </w:pPr>
      <w:r>
        <w:t xml:space="preserve">The Product Carbon Footprint (PCF) analysis for kihhjvlrkd follows a five-step methodology in accordance with the GHG Protocol, ensuring a systematic and transparent assessment of greenhouse gas emissions.</w:t>
      </w:r>
    </w:p>
    <w:bookmarkStart w:id="22" w:name="define-scope"/>
    <w:p>
      <w:pPr>
        <w:pStyle w:val="Heading3"/>
      </w:pPr>
      <w:r>
        <w:t xml:space="preserve">2.1. Define Scope</w:t>
      </w:r>
    </w:p>
    <w:p>
      <w:pPr>
        <w:pStyle w:val="FirstParagraph"/>
      </w:pPr>
      <w:r>
        <w:t xml:space="preserve">This initial step establishes the boundaries and parameters for the PCF study:</w:t>
      </w:r>
    </w:p>
    <w:p>
      <w:pPr>
        <w:numPr>
          <w:ilvl w:val="0"/>
          <w:numId w:val="1001"/>
        </w:numPr>
        <w:pStyle w:val="Compact"/>
      </w:pPr>
      <w:r>
        <w:rPr>
          <w:bCs/>
          <w:b/>
        </w:rPr>
        <w:t xml:space="preserve">Functional Unit:</w:t>
      </w:r>
      <w:r>
        <w:t xml:space="preserve"> </w:t>
      </w:r>
      <w:r>
        <w:t xml:space="preserve">1.0 unit of kihhjvlrkd.</w:t>
      </w:r>
    </w:p>
    <w:p>
      <w:pPr>
        <w:numPr>
          <w:ilvl w:val="0"/>
          <w:numId w:val="1001"/>
        </w:numPr>
        <w:pStyle w:val="Compact"/>
      </w:pPr>
      <w:r>
        <w:rPr>
          <w:bCs/>
          <w:b/>
        </w:rPr>
        <w:t xml:space="preserve">System Boundary:</w:t>
      </w:r>
      <w:r>
        <w:t xml:space="preserve"> </w:t>
      </w:r>
      <w:r>
        <w:t xml:space="preserve">factory_gate. This boundary encompasses all processes from raw material extraction and processing up to the point where the product leaves the manufacturing facility. Downstream activities, including transportation to the customer, the use phase, and end-of-life, are also included in the full lifecycle assessment.</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materials and components). This dual focus allows for consideration of specific regional grid mixes and transport efficiencies.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kihhjvlrkd. For shared processes, recognized physical allocation methods are applied where appropriate.</w:t>
      </w:r>
    </w:p>
    <w:p>
      <w:pPr>
        <w:numPr>
          <w:ilvl w:val="0"/>
          <w:numId w:val="1001"/>
        </w:numPr>
        <w:pStyle w:val="Compact"/>
      </w:pPr>
      <w:r>
        <w:rPr>
          <w:bCs/>
          <w:b/>
        </w:rPr>
        <w:t xml:space="preserve">Accounting Standard:</w:t>
      </w:r>
      <w:r>
        <w:t xml:space="preserve"> </w:t>
      </w:r>
      <w:r>
        <w:t xml:space="preserve">The analysis strictly adheres to the GHG Protocol Corporate Standard and the Corporate Value Chain (Scope 3) Accounting and Reporting Standard. Emissions are categorized into Scope 1 (direct emissions), Scope 2 (purchased electricity, heat, or steam),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released on January 30, 2026, and effective January 1, 2027, is applied to account for land use and carbon removals where relevant. This standard provides accounting requirements and guidance for entities with significant land sector activities and those reporting CO2 removals. While direct land-use change impacts for kihhjvlrkd\'s materials are assessed, the full guidance document is anticipated in Q2 2026.</w:t>
      </w:r>
    </w:p>
    <w:p>
      <w:pPr>
        <w:numPr>
          <w:ilvl w:val="0"/>
          <w:numId w:val="1001"/>
        </w:numPr>
        <w:pStyle w:val="Compact"/>
      </w:pPr>
      <w:r>
        <w:rPr>
          <w:bCs/>
          <w:b/>
        </w:rPr>
        <w:t xml:space="preserve">Scope 3 Compliance:</w:t>
      </w:r>
      <w:r>
        <w:t xml:space="preserve"> </w:t>
      </w:r>
      <w:r>
        <w:t xml:space="preserve">In line with the 2026 revisions to the Scope 3 Standard, a minimum of 95% coverage for Scope 3 reporting is ensured. This includes mandatory disaggregation of data by type (e.g., primary activity data vs. spend-based estimates) to enhance data quality and transparency.</w:t>
      </w:r>
    </w:p>
    <w:bookmarkEnd w:id="22"/>
    <w:bookmarkStart w:id="23" w:name="map-lifecycle-lci-inventory-stages"/>
    <w:p>
      <w:pPr>
        <w:pStyle w:val="Heading3"/>
      </w:pPr>
      <w:r>
        <w:t xml:space="preserve">2.2. Map Lifecycle (LCI Inventory Stages)</w:t>
      </w:r>
    </w:p>
    <w:p>
      <w:pPr>
        <w:pStyle w:val="FirstParagraph"/>
      </w:pPr>
      <w:r>
        <w:t xml:space="preserve">The lifecycle of kihhjvlrkd is mapped into the following stages for a comprehensive assessment:</w:t>
      </w:r>
    </w:p>
    <w:p>
      <w:pPr>
        <w:numPr>
          <w:ilvl w:val="0"/>
          <w:numId w:val="1002"/>
        </w:numPr>
        <w:pStyle w:val="Compact"/>
      </w:pPr>
      <w:r>
        <w:rPr>
          <w:bCs/>
          <w:b/>
        </w:rPr>
        <w:t xml:space="preserve">Materials Acquisition &amp; Pre-processing:</w:t>
      </w:r>
      <w:r>
        <w:t xml:space="preserve"> </w:t>
      </w:r>
      <w:r>
        <w:t xml:space="preserve">Covers the extraction, cultivation, and initial processing of all raw materials and components listed in the Bill of Materials (BOM), including manufacturing of intermediate products.</w:t>
      </w:r>
    </w:p>
    <w:p>
      <w:pPr>
        <w:numPr>
          <w:ilvl w:val="0"/>
          <w:numId w:val="1002"/>
        </w:numPr>
        <w:pStyle w:val="Compact"/>
      </w:pPr>
      <w:r>
        <w:rPr>
          <w:bCs/>
          <w:b/>
        </w:rPr>
        <w:t xml:space="preserve">Production:</w:t>
      </w:r>
      <w:r>
        <w:t xml:space="preserve"> </w:t>
      </w:r>
      <w:r>
        <w:t xml:space="preserve">Encompasses the manufacturing processes at the gxmeqrpkwf facility in China, including energy consumption for machinery, heating, cooling, and waste generated during production.</w:t>
      </w:r>
    </w:p>
    <w:p>
      <w:pPr>
        <w:numPr>
          <w:ilvl w:val="0"/>
          <w:numId w:val="1002"/>
        </w:numPr>
        <w:pStyle w:val="Compact"/>
      </w:pPr>
      <w:r>
        <w:rPr>
          <w:bCs/>
          <w:b/>
        </w:rPr>
        <w:t xml:space="preserve">Transport (Inbound &amp; Outbound Logistics):</w:t>
      </w:r>
      <w:r>
        <w:t xml:space="preserve"> </w:t>
      </w:r>
      <w:r>
        <w:t xml:space="preserve">Includes the transportation of raw materials and components from European suppliers to the manufacturing facility in China (inbound) and the transportation of the finished product to the customer (outbound/last-mile delivery).</w:t>
      </w:r>
    </w:p>
    <w:p>
      <w:pPr>
        <w:numPr>
          <w:ilvl w:val="0"/>
          <w:numId w:val="1002"/>
        </w:numPr>
        <w:pStyle w:val="Compact"/>
      </w:pPr>
      <w:r>
        <w:rPr>
          <w:bCs/>
          <w:b/>
        </w:rPr>
        <w:t xml:space="preserve">Use Phase:</w:t>
      </w:r>
      <w:r>
        <w:t xml:space="preserve"> </w:t>
      </w:r>
      <w:r>
        <w:t xml:space="preserve">Accounts for the energy consumption and associated emissions during the expected lifespan of the product by the end-user.</w:t>
      </w:r>
    </w:p>
    <w:p>
      <w:pPr>
        <w:numPr>
          <w:ilvl w:val="0"/>
          <w:numId w:val="1002"/>
        </w:numPr>
        <w:pStyle w:val="Compact"/>
      </w:pPr>
      <w:r>
        <w:rPr>
          <w:bCs/>
          <w:b/>
        </w:rPr>
        <w:t xml:space="preserve">End-of-Life (EoL):</w:t>
      </w:r>
      <w:r>
        <w:t xml:space="preserve"> </w:t>
      </w:r>
      <w:r>
        <w:t xml:space="preserve">Addresses emissions and potential avoided emissions (credits) from waste treatment, recycling, and disposal of the product at the end of its useful life.</w:t>
      </w:r>
    </w:p>
    <w:bookmarkEnd w:id="23"/>
    <w:bookmarkStart w:id="30" w:name="Xb57f50a89bf1f3f1837369be949d9d60d6c1272"/>
    <w:p>
      <w:pPr>
        <w:pStyle w:val="Heading3"/>
      </w:pPr>
      <w:r>
        <w:t xml:space="preserve">2.3. Collect Data (Primary/Secondary Data Points)</w:t>
      </w:r>
    </w:p>
    <w:p>
      <w:pPr>
        <w:pStyle w:val="FirstParagraph"/>
      </w:pPr>
      <w:r>
        <w:t xml:space="preserve">Data collection involves a mix of primary data (provided by gxmeqrpkwf) and secondary data (industry-average emission factors). Where specific primary data for certain parameters was provided as an opaque string, illustrative values based on the prompt\'s context and typical industry scenarios have been used for calculation purposes, and this is noted in the relevant sections.</w:t>
      </w:r>
    </w:p>
    <w:bookmarkStart w:id="24" w:name="detailed-bill-of-materials-bom"/>
    <w:p>
      <w:pPr>
        <w:pStyle w:val="Heading4"/>
      </w:pPr>
      <w:r>
        <w:t xml:space="preserve">2.3.1. Detailed Bill of Materials (BOM)</w:t>
      </w:r>
    </w:p>
    <w:p>
      <w:pPr>
        <w:pStyle w:val="FirstParagraph"/>
      </w:pPr>
      <w:r>
        <w:t xml:space="preserve">The following detailed Bill of Materials (BOM) for kihhjvlrkd (`guemmkht`)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4.5</w:t>
            </w:r>
          </w:p>
        </w:tc>
        <w:tc>
          <w:tcPr/>
          <w:p>
            <w:pPr>
              <w:pStyle w:val="Compact"/>
              <w:jc w:val="left"/>
            </w:pPr>
            <w:r>
              <w:t xml:space="preserve">1.35</w:t>
            </w:r>
          </w:p>
        </w:tc>
      </w:tr>
      <w:tr>
        <w:tc>
          <w:tcPr/>
          <w:p>
            <w:pPr>
              <w:pStyle w:val="Compact"/>
              <w:jc w:val="left"/>
            </w:pPr>
            <w:r>
              <w:t xml:space="preserve">M003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bl>
    <w:p>
      <w:pPr>
        <w:pStyle w:val="BodyText"/>
      </w:pPr>
      <w:r>
        <w:rPr>
          <w:iCs/>
          <w:i/>
        </w:rPr>
        <w:t xml:space="preserve">Note: The total product weight (sum of BOM quantity) for calculation purposes is 2.1 kg.</w:t>
      </w:r>
    </w:p>
    <w:bookmarkEnd w:id="24"/>
    <w:bookmarkStart w:id="25" w:name="logistics-data"/>
    <w:p>
      <w:pPr>
        <w:pStyle w:val="Heading4"/>
      </w:pPr>
      <w:r>
        <w:t xml:space="preserve">2.3.2. Logistics Data</w:t>
      </w:r>
    </w:p>
    <w:p>
      <w:pPr>
        <w:numPr>
          <w:ilvl w:val="0"/>
          <w:numId w:val="1003"/>
        </w:numPr>
        <w:pStyle w:val="Compact"/>
      </w:pPr>
      <w:r>
        <w:rPr>
          <w:bCs/>
          <w:b/>
        </w:rPr>
        <w:t xml:space="preserve">Primary Transport Mode (`Select Mode`):</w:t>
      </w:r>
      <w:r>
        <w:t xml:space="preserve"> </w:t>
      </w:r>
      <w:r>
        <w:t xml:space="preserve">Ocean Freight (Container Ship).</w:t>
      </w:r>
    </w:p>
    <w:p>
      <w:pPr>
        <w:numPr>
          <w:ilvl w:val="0"/>
          <w:numId w:val="1003"/>
        </w:numPr>
        <w:pStyle w:val="Compact"/>
      </w:pPr>
      <w:r>
        <w:rPr>
          <w:bCs/>
          <w:b/>
        </w:rPr>
        <w:t xml:space="preserve">Transport Distance (`jgpdeniiyq`):</w:t>
      </w:r>
      <w:r>
        <w:t xml:space="preserve"> </w:t>
      </w:r>
      <w:r>
        <w:t xml:space="preserve">8000 km (for primary transport).</w:t>
      </w:r>
    </w:p>
    <w:p>
      <w:pPr>
        <w:numPr>
          <w:ilvl w:val="0"/>
          <w:numId w:val="1003"/>
        </w:numPr>
        <w:pStyle w:val="Compact"/>
      </w:pPr>
      <w:r>
        <w:rPr>
          <w:bCs/>
          <w:b/>
        </w:rPr>
        <w:t xml:space="preserve">Last-Mile Delivery Channel (`Delivery Type`):</w:t>
      </w:r>
      <w:r>
        <w:t xml:space="preserve"> </w:t>
      </w:r>
      <w:r>
        <w:t xml:space="preserve">Road Freight (Light Commercial Vehicle). An illustrative last-mile distance of 200 km is assumed.</w:t>
      </w:r>
    </w:p>
    <w:bookmarkEnd w:id="25"/>
    <w:bookmarkStart w:id="26" w:name="production-energy-data"/>
    <w:p>
      <w:pPr>
        <w:pStyle w:val="Heading4"/>
      </w:pPr>
      <w:r>
        <w:t xml:space="preserve">2.3.3. Production Energy Data</w:t>
      </w:r>
    </w:p>
    <w:p>
      <w:pPr>
        <w:numPr>
          <w:ilvl w:val="0"/>
          <w:numId w:val="1004"/>
        </w:numPr>
        <w:pStyle w:val="Compact"/>
      </w:pPr>
      <w:r>
        <w:rPr>
          <w:bCs/>
          <w:b/>
        </w:rPr>
        <w:t xml:space="preserve">Renewable Energy Usage (`yeedoltvus`):</w:t>
      </w:r>
      <w:r>
        <w:t xml:space="preserve"> </w:t>
      </w:r>
      <w:r>
        <w:t xml:space="preserve">40%.</w:t>
      </w:r>
    </w:p>
    <w:p>
      <w:pPr>
        <w:numPr>
          <w:ilvl w:val="0"/>
          <w:numId w:val="1004"/>
        </w:numPr>
        <w:pStyle w:val="Compact"/>
      </w:pPr>
      <w:r>
        <w:rPr>
          <w:bCs/>
          <w:b/>
        </w:rPr>
        <w:t xml:space="preserve">Energy Intensity (kWh/unit) (`jwzssvztsw`):</w:t>
      </w:r>
      <w:r>
        <w:t xml:space="preserve"> </w:t>
      </w:r>
      <w:r>
        <w:t xml:space="preserve">15.0 kWh/unit.</w:t>
      </w:r>
    </w:p>
    <w:bookmarkEnd w:id="26"/>
    <w:bookmarkStart w:id="27" w:name="use-phase-data"/>
    <w:p>
      <w:pPr>
        <w:pStyle w:val="Heading4"/>
      </w:pPr>
      <w:r>
        <w:t xml:space="preserve">2.3.4. Use Phase Data</w:t>
      </w:r>
    </w:p>
    <w:p>
      <w:pPr>
        <w:numPr>
          <w:ilvl w:val="0"/>
          <w:numId w:val="1005"/>
        </w:numPr>
        <w:pStyle w:val="Compact"/>
      </w:pPr>
      <w:r>
        <w:rPr>
          <w:bCs/>
          <w:b/>
        </w:rPr>
        <w:t xml:space="preserve">Product Lifespan (`zpvfqhezyd`):</w:t>
      </w:r>
      <w:r>
        <w:t xml:space="preserve"> </w:t>
      </w:r>
      <w:r>
        <w:t xml:space="preserve">5 years.</w:t>
      </w:r>
    </w:p>
    <w:p>
      <w:pPr>
        <w:numPr>
          <w:ilvl w:val="0"/>
          <w:numId w:val="1005"/>
        </w:numPr>
        <w:pStyle w:val="Compact"/>
      </w:pPr>
      <w:r>
        <w:rPr>
          <w:bCs/>
          <w:b/>
        </w:rPr>
        <w:t xml:space="preserve">Energy Consumption in Use (`dlsjfgygdn`):</w:t>
      </w:r>
      <w:r>
        <w:t xml:space="preserve"> </w:t>
      </w:r>
      <w:r>
        <w:t xml:space="preserve">25 kWh/year.</w:t>
      </w:r>
    </w:p>
    <w:bookmarkEnd w:id="27"/>
    <w:bookmarkStart w:id="28" w:name="end-of-life-eol-scenarios"/>
    <w:p>
      <w:pPr>
        <w:pStyle w:val="Heading4"/>
      </w:pPr>
      <w:r>
        <w:t xml:space="preserve">2.3.5. End-of-Life (EoL) Scenarios</w:t>
      </w:r>
    </w:p>
    <w:p>
      <w:pPr>
        <w:numPr>
          <w:ilvl w:val="0"/>
          <w:numId w:val="1006"/>
        </w:numPr>
        <w:pStyle w:val="Compact"/>
      </w:pPr>
      <w:r>
        <w:rPr>
          <w:bCs/>
          <w:b/>
        </w:rPr>
        <w:t xml:space="preserve">Recyclability Percentage (`dhqifhrglp`):</w:t>
      </w:r>
      <w:r>
        <w:t xml:space="preserve"> </w:t>
      </w:r>
      <w:r>
        <w:t xml:space="preserve">65%.</w:t>
      </w:r>
    </w:p>
    <w:p>
      <w:pPr>
        <w:numPr>
          <w:ilvl w:val="0"/>
          <w:numId w:val="1006"/>
        </w:numPr>
        <w:pStyle w:val="Compact"/>
      </w:pPr>
      <w:r>
        <w:rPr>
          <w:bCs/>
          <w:b/>
        </w:rPr>
        <w:t xml:space="preserve">Circular/Take-back Programs (`itwotqeees`):</w:t>
      </w:r>
      <w:r>
        <w:t xml:space="preserve"> </w:t>
      </w:r>
      <w:r>
        <w:t xml:space="preserve">Company-managed return &amp; recycling program.</w:t>
      </w:r>
    </w:p>
    <w:bookmarkEnd w:id="28"/>
    <w:bookmarkStart w:id="29" w:name="X9018d50a20c0e0ee8a5162d16a64f7307bc697b"/>
    <w:p>
      <w:pPr>
        <w:pStyle w:val="Heading4"/>
      </w:pPr>
      <w:r>
        <w:t xml:space="preserve">2.3.6. Emission Factors (Illustrative and Industry-Standard)</w:t>
      </w:r>
    </w:p>
    <w:p>
      <w:pPr>
        <w:pStyle w:val="FirstParagraph"/>
      </w:pPr>
      <w:r>
        <w:t xml:space="preserve">Where primary data was not directly provided, industry-standard emission factors (e.g., from Ecoinvent/DEFRA) are used as illustrative proxies:</w:t>
      </w:r>
    </w:p>
    <w:p>
      <w:pPr>
        <w:numPr>
          <w:ilvl w:val="0"/>
          <w:numId w:val="1007"/>
        </w:numPr>
        <w:pStyle w:val="Compact"/>
      </w:pPr>
      <w:r>
        <w:rPr>
          <w:bCs/>
          <w:b/>
        </w:rPr>
        <w:t xml:space="preserve">Electricity Grid (China):</w:t>
      </w:r>
      <w:r>
        <w:t xml:space="preserve"> </w:t>
      </w:r>
      <w:r>
        <w:t xml:space="preserve">0.6205 kgCO2e/kWh (China\'s Ministry of Ecology and Environment 2023 national average).</w:t>
      </w:r>
    </w:p>
    <w:p>
      <w:pPr>
        <w:numPr>
          <w:ilvl w:val="0"/>
          <w:numId w:val="1007"/>
        </w:numPr>
        <w:pStyle w:val="Compact"/>
      </w:pPr>
      <w:r>
        <w:rPr>
          <w:bCs/>
          <w:b/>
        </w:rPr>
        <w:t xml:space="preserve">Renewable Electricity:</w:t>
      </w:r>
      <w:r>
        <w:t xml:space="preserve"> </w:t>
      </w:r>
      <w:r>
        <w:t xml:space="preserve">0.05 kgCO2e/kWh (representative of grid-connected renewables with upstream impacts).</w:t>
      </w:r>
    </w:p>
    <w:p>
      <w:pPr>
        <w:numPr>
          <w:ilvl w:val="0"/>
          <w:numId w:val="1007"/>
        </w:numPr>
        <w:pStyle w:val="Compact"/>
      </w:pPr>
      <w:r>
        <w:rPr>
          <w:bCs/>
          <w:b/>
        </w:rPr>
        <w:t xml:space="preserve">Ocean Freight (Container Ship):</w:t>
      </w:r>
      <w:r>
        <w:t xml:space="preserve"> </w:t>
      </w:r>
      <w:r>
        <w:t xml:space="preserve">0.016 kgCO2e/tkm (based on DEFRA data for container ships).</w:t>
      </w:r>
    </w:p>
    <w:p>
      <w:pPr>
        <w:numPr>
          <w:ilvl w:val="0"/>
          <w:numId w:val="1007"/>
        </w:numPr>
        <w:pStyle w:val="Compact"/>
      </w:pPr>
      <w:r>
        <w:rPr>
          <w:bCs/>
          <w:b/>
        </w:rPr>
        <w:t xml:space="preserve">Road Freight (Light Commercial Vehicle):</w:t>
      </w:r>
      <w:r>
        <w:t xml:space="preserve"> </w:t>
      </w:r>
      <w:r>
        <w:t xml:space="preserve">0.1 kgCO2e/tkm (representative for light commercial vehicles).</w:t>
      </w:r>
    </w:p>
    <w:p>
      <w:pPr>
        <w:numPr>
          <w:ilvl w:val="0"/>
          <w:numId w:val="1007"/>
        </w:numPr>
        <w:pStyle w:val="Compact"/>
      </w:pPr>
      <w:r>
        <w:rPr>
          <w:bCs/>
          <w:b/>
        </w:rPr>
        <w:t xml:space="preserve">Waste to Landfill (Mixed):</w:t>
      </w:r>
      <w:r>
        <w:t xml:space="preserve"> </w:t>
      </w:r>
      <w:r>
        <w:t xml:space="preserve">0.05 kgCO2e/kg (representative, considering various waste types and methane generation).</w:t>
      </w:r>
    </w:p>
    <w:p>
      <w:pPr>
        <w:numPr>
          <w:ilvl w:val="0"/>
          <w:numId w:val="1007"/>
        </w:numPr>
        <w:pStyle w:val="Compact"/>
      </w:pPr>
      <w:r>
        <w:rPr>
          <w:bCs/>
          <w:b/>
        </w:rPr>
        <w:t xml:space="preserve">Recycling Avoided Emissions (Mixed Materials):</w:t>
      </w:r>
      <w:r>
        <w:t xml:space="preserve"> </w:t>
      </w:r>
      <w:r>
        <w:t xml:space="preserve">-0.5 kgCO2e/kg (representative avoided emissions due to recycling, reflecting reduction compared to virgin production).</w:t>
      </w:r>
    </w:p>
    <w:p>
      <w:r>
        <w:pict>
          <v:rect style="width:0;height:1.5pt" o:hralign="center" o:hrstd="t" o:hr="t"/>
        </w:pict>
      </w:r>
    </w:p>
    <w:bookmarkEnd w:id="29"/>
    <w:bookmarkEnd w:id="30"/>
    <w:bookmarkEnd w:id="31"/>
    <w:bookmarkStart w:id="38" w:name="calculation-of-emissions"/>
    <w:p>
      <w:pPr>
        <w:pStyle w:val="Heading2"/>
      </w:pPr>
      <w:r>
        <w:t xml:space="preserve">3. Calculation of Emissions</w:t>
      </w:r>
    </w:p>
    <w:p>
      <w:pPr>
        <w:pStyle w:val="FirstParagraph"/>
      </w:pPr>
      <w:r>
        <w:t xml:space="preserve">Emissions are calculated for each lifecycle stage by multiplying activity data by the relevant emission factors. The results are categorized into Scope 1, 2, and 3 emissions as per the GHG Protocol.</w:t>
      </w:r>
    </w:p>
    <w:bookmarkStart w:id="32" w:name="Xa124a95b981c370289279a4b723120ad8e79cc2"/>
    <w:p>
      <w:pPr>
        <w:pStyle w:val="Heading3"/>
      </w:pPr>
      <w:r>
        <w:t xml:space="preserve">3.1. Materials Acquisition &amp; Pre-processing (Scope 3 - Upstream)</w:t>
      </w:r>
    </w:p>
    <w:p>
      <w:pPr>
        <w:pStyle w:val="FirstParagraph"/>
      </w:pPr>
      <w:r>
        <w:t xml:space="preserve">This category includes emissions from the extraction, processing, and manufacturing of raw materials and components, as detailed in the BOM. Since the BOM provides "Total Carbon" directly for each item, these values are summed.</w:t>
      </w:r>
    </w:p>
    <w:p>
      <w:pPr>
        <w:numPr>
          <w:ilvl w:val="0"/>
          <w:numId w:val="1008"/>
        </w:numPr>
        <w:pStyle w:val="Compact"/>
      </w:pPr>
      <w:r>
        <w:t xml:space="preserve">M001 Aluminum Casing: 6.00 kgCO2e</w:t>
      </w:r>
    </w:p>
    <w:p>
      <w:pPr>
        <w:numPr>
          <w:ilvl w:val="0"/>
          <w:numId w:val="1008"/>
        </w:numPr>
        <w:pStyle w:val="Compact"/>
      </w:pPr>
      <w:r>
        <w:t xml:space="preserve">M002 ABS Plastic Housing: 1.35 kgCO2e</w:t>
      </w:r>
    </w:p>
    <w:p>
      <w:pPr>
        <w:numPr>
          <w:ilvl w:val="0"/>
          <w:numId w:val="1008"/>
        </w:numPr>
        <w:pStyle w:val="Compact"/>
      </w:pPr>
      <w:r>
        <w:t xml:space="preserve">M003 Printed Circuit Board: 2.50 kgCO2e</w:t>
      </w:r>
    </w:p>
    <w:p>
      <w:pPr>
        <w:numPr>
          <w:ilvl w:val="0"/>
          <w:numId w:val="1008"/>
        </w:numPr>
        <w:pStyle w:val="Compact"/>
      </w:pPr>
      <w:r>
        <w:t xml:space="preserve">M004 Lithium-ion Battery: 2.00 kgCO2e</w:t>
      </w:r>
    </w:p>
    <w:p>
      <w:pPr>
        <w:numPr>
          <w:ilvl w:val="0"/>
          <w:numId w:val="1008"/>
        </w:numPr>
        <w:pStyle w:val="Compact"/>
      </w:pPr>
      <w:r>
        <w:t xml:space="preserve">M005 Packaging (Recycled Cardboard): 0.10 kgCO2e</w:t>
      </w:r>
    </w:p>
    <w:p>
      <w:pPr>
        <w:pStyle w:val="FirstParagraph"/>
      </w:pPr>
      <w:r>
        <w:rPr>
          <w:bCs/>
          <w:b/>
        </w:rPr>
        <w:t xml:space="preserve">Total Material Emissions (Scope 3): 11.95 kgCO2e</w:t>
      </w:r>
    </w:p>
    <w:bookmarkEnd w:id="32"/>
    <w:bookmarkStart w:id="33" w:name="production-scope-2"/>
    <w:p>
      <w:pPr>
        <w:pStyle w:val="Heading3"/>
      </w:pPr>
      <w:r>
        <w:t xml:space="preserve">3.2. Production (Scope 2)</w:t>
      </w:r>
    </w:p>
    <w:p>
      <w:pPr>
        <w:pStyle w:val="FirstParagraph"/>
      </w:pPr>
      <w:r>
        <w:t xml:space="preserve">Emissions associated with energy consumption at the manufacturing facility in China:</w:t>
      </w:r>
    </w:p>
    <w:p>
      <w:pPr>
        <w:numPr>
          <w:ilvl w:val="0"/>
          <w:numId w:val="1009"/>
        </w:numPr>
        <w:pStyle w:val="Compact"/>
      </w:pPr>
      <w:r>
        <w:t xml:space="preserve">Total Energy Intensity: 15.0 kWh/unit [cite: `jwzssvztsw`]</w:t>
      </w:r>
    </w:p>
    <w:p>
      <w:pPr>
        <w:numPr>
          <w:ilvl w:val="0"/>
          <w:numId w:val="1009"/>
        </w:numPr>
        <w:pStyle w:val="Compact"/>
      </w:pPr>
      <w:r>
        <w:t xml:space="preserve">Renewable Energy Usage: 40% [cite: `yeedoltvus`]</w:t>
      </w:r>
    </w:p>
    <w:p>
      <w:pPr>
        <w:numPr>
          <w:ilvl w:val="0"/>
          <w:numId w:val="1009"/>
        </w:numPr>
        <w:pStyle w:val="Compact"/>
      </w:pPr>
      <w:r>
        <w:t xml:space="preserve">Grid Electricity Usage: 60% of 15.0 kWh = 9.0 kWh</w:t>
      </w:r>
    </w:p>
    <w:p>
      <w:pPr>
        <w:numPr>
          <w:ilvl w:val="0"/>
          <w:numId w:val="1009"/>
        </w:numPr>
        <w:pStyle w:val="Compact"/>
      </w:pPr>
      <w:r>
        <w:t xml:space="preserve">Renewable Electricity Usage: 40% of 15.0 kWh = 6.0 kWh</w:t>
      </w:r>
    </w:p>
    <w:p>
      <w:pPr>
        <w:numPr>
          <w:ilvl w:val="0"/>
          <w:numId w:val="1009"/>
        </w:numPr>
        <w:pStyle w:val="Compact"/>
      </w:pPr>
      <w:r>
        <w:t xml:space="preserve">Emissions from Grid Electricity: 9.0 kWh * 0.6205 kgCO2e/kWh = 5.5845 kgCO2e</w:t>
      </w:r>
    </w:p>
    <w:p>
      <w:pPr>
        <w:numPr>
          <w:ilvl w:val="0"/>
          <w:numId w:val="1009"/>
        </w:numPr>
        <w:pStyle w:val="Compact"/>
      </w:pPr>
      <w:r>
        <w:t xml:space="preserve">Emissions from Renewable Electricity: 6.0 kWh * 0.05 kgCO2e/kWh = 0.30 kgCO2e</w:t>
      </w:r>
    </w:p>
    <w:p>
      <w:pPr>
        <w:pStyle w:val="FirstParagraph"/>
      </w:pPr>
      <w:r>
        <w:rPr>
          <w:bCs/>
          <w:b/>
        </w:rPr>
        <w:t xml:space="preserve">Total Production Energy Emissions (Scope 2): 5.8845 kgCO2e</w:t>
      </w:r>
    </w:p>
    <w:bookmarkEnd w:id="33"/>
    <w:bookmarkStart w:id="34" w:name="transport-scope-3---upstream"/>
    <w:p>
      <w:pPr>
        <w:pStyle w:val="Heading3"/>
      </w:pPr>
      <w:r>
        <w:t xml:space="preserve">3.3. Transport (Scope 3 - Upstream)</w:t>
      </w:r>
    </w:p>
    <w:p>
      <w:pPr>
        <w:pStyle w:val="FirstParagraph"/>
      </w:pPr>
      <w:r>
        <w:t xml:space="preserve">Emissions from transporting materials to the factory and the final product to the customer. For illustrative purposes, the total product weight (2.1 kg) is used as a proxy for the weight of goods transported.</w:t>
      </w:r>
    </w:p>
    <w:p>
      <w:pPr>
        <w:numPr>
          <w:ilvl w:val="0"/>
          <w:numId w:val="1010"/>
        </w:numPr>
        <w:pStyle w:val="Compact"/>
      </w:pPr>
      <w:r>
        <w:t xml:space="preserve">Inbound Logistics (Ocean Freight `Select Mode`):</w:t>
      </w:r>
    </w:p>
    <w:p>
      <w:pPr>
        <w:numPr>
          <w:ilvl w:val="1"/>
          <w:numId w:val="1011"/>
        </w:numPr>
        <w:pStyle w:val="Compact"/>
      </w:pPr>
      <w:r>
        <w:t xml:space="preserve">Distance: 8000 km [cite: `jgpdeniiyq`]</w:t>
      </w:r>
    </w:p>
    <w:p>
      <w:pPr>
        <w:numPr>
          <w:ilvl w:val="1"/>
          <w:numId w:val="1011"/>
        </w:numPr>
        <w:pStyle w:val="Compact"/>
      </w:pPr>
      <w:r>
        <w:t xml:space="preserve">Product Weight: 2.1 kg = 0.0021 tonnes</w:t>
      </w:r>
    </w:p>
    <w:p>
      <w:pPr>
        <w:numPr>
          <w:ilvl w:val="1"/>
          <w:numId w:val="1011"/>
        </w:numPr>
        <w:pStyle w:val="Compact"/>
      </w:pPr>
      <w:r>
        <w:t xml:space="preserve">Emissions: 0.0021 tonnes * 8000 km * 0.016 kgCO2e/tkm = 0.2688 kgCO2e</w:t>
      </w:r>
    </w:p>
    <w:p>
      <w:pPr>
        <w:numPr>
          <w:ilvl w:val="0"/>
          <w:numId w:val="1010"/>
        </w:numPr>
        <w:pStyle w:val="Compact"/>
      </w:pPr>
      <w:r>
        <w:t xml:space="preserve">Last-Mile Delivery (`Delivery Type`, Road Freight):</w:t>
      </w:r>
    </w:p>
    <w:p>
      <w:pPr>
        <w:numPr>
          <w:ilvl w:val="1"/>
          <w:numId w:val="1012"/>
        </w:numPr>
        <w:pStyle w:val="Compact"/>
      </w:pPr>
      <w:r>
        <w:t xml:space="preserve">Illustrative Distance: 200 km</w:t>
      </w:r>
    </w:p>
    <w:p>
      <w:pPr>
        <w:numPr>
          <w:ilvl w:val="1"/>
          <w:numId w:val="1012"/>
        </w:numPr>
        <w:pStyle w:val="Compact"/>
      </w:pPr>
      <w:r>
        <w:t xml:space="preserve">Product Weight: 2.1 kg = 0.0021 tonnes</w:t>
      </w:r>
    </w:p>
    <w:p>
      <w:pPr>
        <w:numPr>
          <w:ilvl w:val="1"/>
          <w:numId w:val="1012"/>
        </w:numPr>
        <w:pStyle w:val="Compact"/>
      </w:pPr>
      <w:r>
        <w:t xml:space="preserve">Emissions: 0.0021 tonnes * 200 km * 0.1 kgCO2e/tkm = 0.042 kgCO2e</w:t>
      </w:r>
    </w:p>
    <w:p>
      <w:pPr>
        <w:pStyle w:val="FirstParagraph"/>
      </w:pPr>
      <w:r>
        <w:rPr>
          <w:bCs/>
          <w:b/>
        </w:rPr>
        <w:t xml:space="preserve">Total Transport Emissions (Scope 3): 0.3108 kgCO2e</w:t>
      </w:r>
    </w:p>
    <w:bookmarkEnd w:id="34"/>
    <w:bookmarkStart w:id="35" w:name="use-phase-scope-3---downstream"/>
    <w:p>
      <w:pPr>
        <w:pStyle w:val="Heading3"/>
      </w:pPr>
      <w:r>
        <w:t xml:space="preserve">3.4. Use Phase (Scope 3 - Downstream)</w:t>
      </w:r>
    </w:p>
    <w:p>
      <w:pPr>
        <w:pStyle w:val="FirstParagraph"/>
      </w:pPr>
      <w:r>
        <w:t xml:space="preserve">Emissions from energy consumption during the product\'s lifespan:</w:t>
      </w:r>
    </w:p>
    <w:p>
      <w:pPr>
        <w:numPr>
          <w:ilvl w:val="0"/>
          <w:numId w:val="1013"/>
        </w:numPr>
        <w:pStyle w:val="Compact"/>
      </w:pPr>
      <w:r>
        <w:t xml:space="preserve">Product Lifespan: 5 years [cite: `zpvfqhezyd`]</w:t>
      </w:r>
    </w:p>
    <w:p>
      <w:pPr>
        <w:numPr>
          <w:ilvl w:val="0"/>
          <w:numId w:val="1013"/>
        </w:numPr>
        <w:pStyle w:val="Compact"/>
      </w:pPr>
      <w:r>
        <w:t xml:space="preserve">Energy Consumption per year: 25 kWh/year [cite: `dlsjfgygdn`]</w:t>
      </w:r>
    </w:p>
    <w:p>
      <w:pPr>
        <w:numPr>
          <w:ilvl w:val="0"/>
          <w:numId w:val="1013"/>
        </w:numPr>
        <w:pStyle w:val="Compact"/>
      </w:pPr>
      <w:r>
        <w:t xml:space="preserve">Total Energy Consumption over Lifespan: 5 years * 25 kWh/year = 125 kWh</w:t>
      </w:r>
    </w:p>
    <w:p>
      <w:pPr>
        <w:numPr>
          <w:ilvl w:val="0"/>
          <w:numId w:val="1013"/>
        </w:numPr>
        <w:pStyle w:val="Compact"/>
      </w:pPr>
      <w:r>
        <w:t xml:space="preserve">Emissions: 125 kWh * 0.6205 kgCO2e/kWh (assuming typical user grid mix in China) = 77.5625 kgCO2e</w:t>
      </w:r>
    </w:p>
    <w:p>
      <w:pPr>
        <w:pStyle w:val="FirstParagraph"/>
      </w:pPr>
      <w:r>
        <w:rPr>
          <w:bCs/>
          <w:b/>
        </w:rPr>
        <w:t xml:space="preserve">Total Use Phase Emissions (Scope 3): 77.5625 kgCO2e</w:t>
      </w:r>
    </w:p>
    <w:bookmarkEnd w:id="35"/>
    <w:bookmarkStart w:id="36" w:name="end-of-life-eol-scope-3---downstream"/>
    <w:p>
      <w:pPr>
        <w:pStyle w:val="Heading3"/>
      </w:pPr>
      <w:r>
        <w:t xml:space="preserve">3.5. End-of-Life (EoL) (Scope 3 - Downstream)</w:t>
      </w:r>
    </w:p>
    <w:p>
      <w:pPr>
        <w:pStyle w:val="FirstParagraph"/>
      </w:pPr>
      <w:r>
        <w:t xml:space="preserve">Emissions and avoided emissions from disposal and recycling:</w:t>
      </w:r>
    </w:p>
    <w:p>
      <w:pPr>
        <w:numPr>
          <w:ilvl w:val="0"/>
          <w:numId w:val="1014"/>
        </w:numPr>
        <w:pStyle w:val="Compact"/>
      </w:pPr>
      <w:r>
        <w:t xml:space="preserve">Product Weight: 2.1 kg</w:t>
      </w:r>
    </w:p>
    <w:p>
      <w:pPr>
        <w:numPr>
          <w:ilvl w:val="0"/>
          <w:numId w:val="1014"/>
        </w:numPr>
        <w:pStyle w:val="Compact"/>
      </w:pPr>
      <w:r>
        <w:t xml:space="preserve">Recyclability Percentage: 65% [cite: `dhqifhrglp`]</w:t>
      </w:r>
    </w:p>
    <w:p>
      <w:pPr>
        <w:numPr>
          <w:ilvl w:val="0"/>
          <w:numId w:val="1014"/>
        </w:numPr>
        <w:pStyle w:val="Compact"/>
      </w:pPr>
      <w:r>
        <w:t xml:space="preserve">Recycled Portion: 2.1 kg * 0.65 = 1.365 kg</w:t>
      </w:r>
    </w:p>
    <w:p>
      <w:pPr>
        <w:numPr>
          <w:ilvl w:val="0"/>
          <w:numId w:val="1014"/>
        </w:numPr>
        <w:pStyle w:val="Compact"/>
      </w:pPr>
      <w:r>
        <w:t xml:space="preserve">Disposed Portion (to landfill): 2.1 kg * 0.35 = 0.735 kg</w:t>
      </w:r>
    </w:p>
    <w:p>
      <w:pPr>
        <w:numPr>
          <w:ilvl w:val="0"/>
          <w:numId w:val="1014"/>
        </w:numPr>
        <w:pStyle w:val="Compact"/>
      </w:pPr>
      <w:r>
        <w:t xml:space="preserve">Emissions from Landfilling: 0.735 kg * 0.05 kgCO2e/kg = 0.03675 kgCO2e</w:t>
      </w:r>
    </w:p>
    <w:p>
      <w:pPr>
        <w:numPr>
          <w:ilvl w:val="0"/>
          <w:numId w:val="1014"/>
        </w:numPr>
        <w:pStyle w:val="Compact"/>
      </w:pPr>
      <w:r>
        <w:t xml:space="preserve">Avoided Emissions from Recycling: 1.365 kg * -0.5 kgCO2e/kg = -0.6825 kgCO2e</w:t>
      </w:r>
    </w:p>
    <w:p>
      <w:pPr>
        <w:numPr>
          <w:ilvl w:val="0"/>
          <w:numId w:val="1014"/>
        </w:numPr>
        <w:pStyle w:val="Compact"/>
      </w:pPr>
      <w:r>
        <w:t xml:space="preserve">Circular/Take-back Programs (`itwotqeees`): The company operates a "Company-managed return &amp; recycling program," which is a key driver for achieving the high recyclability rate and associated avoided emissions.</w:t>
      </w:r>
    </w:p>
    <w:p>
      <w:pPr>
        <w:pStyle w:val="FirstParagraph"/>
      </w:pPr>
      <w:r>
        <w:rPr>
          <w:bCs/>
          <w:b/>
        </w:rPr>
        <w:t xml:space="preserve">Total End-of-Life Emissions (Scope 3): -0.64575 kgCO2e</w:t>
      </w:r>
    </w:p>
    <w:bookmarkEnd w:id="36"/>
    <w:bookmarkStart w:id="37" w:name="X7a3c91ea1acee132d1fc9adc99704c7a9c199d5"/>
    <w:p>
      <w:pPr>
        <w:pStyle w:val="Heading3"/>
      </w:pPr>
      <w:r>
        <w:t xml:space="preserve">3.6. 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GHG Emissions (kgCO2e)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11.95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5.88</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0.31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77.56</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-0.65</w:t>
            </w:r>
          </w:p>
        </w:tc>
      </w:tr>
      <w:tr>
        <w:tc>
          <w:tcPr/>
          <w:p>
            <w:pPr>
              <w:pStyle w:val="Compact"/>
              <w:jc w:val="left"/>
            </w:pPr>
            <w:r>
              <w:t xml:space="preserve">Total Product Carbon Footprint</w:t>
            </w:r>
          </w:p>
        </w:tc>
        <w:tc>
          <w:tcPr/>
          <w:p>
            <w:pPr>
              <w:pStyle w:val="Compact"/>
            </w:pPr>
          </w:p>
        </w:tc>
        <w:tc>
          <w:tcPr/>
          <w:p>
            <w:pPr>
              <w:pStyle w:val="Compact"/>
              <w:jc w:val="left"/>
            </w:pPr>
            <w:r>
              <w:t xml:space="preserve">95.06</w:t>
            </w:r>
          </w:p>
        </w:tc>
      </w:tr>
    </w:tbl>
    <w:p>
      <w:pPr>
        <w:pStyle w:val="BodyText"/>
      </w:pPr>
      <w:r>
        <w:rPr>
          <w:bCs/>
          <w:b/>
        </w:rPr>
        <w:t xml:space="preserve">Total PCF for kihhjvlrkd: 95.06 kgCO2e per functional unit.</w:t>
      </w:r>
    </w:p>
    <w:p>
      <w:r>
        <w:pict>
          <v:rect style="width:0;height:1.5pt" o:hralign="center" o:hrstd="t" o:hr="t"/>
        </w:pict>
      </w:r>
    </w:p>
    <w:bookmarkEnd w:id="37"/>
    <w:bookmarkEnd w:id="38"/>
    <w:bookmarkStart w:id="42" w:name="review-report"/>
    <w:p>
      <w:pPr>
        <w:pStyle w:val="Heading2"/>
      </w:pPr>
      <w:r>
        <w:t xml:space="preserve">4. Review &amp; Report</w:t>
      </w:r>
    </w:p>
    <w:bookmarkStart w:id="39" w:name="hotspots-analysis"/>
    <w:p>
      <w:pPr>
        <w:pStyle w:val="Heading3"/>
      </w:pPr>
      <w:r>
        <w:t xml:space="preserve">4.1. Hotspots Analysis</w:t>
      </w:r>
    </w:p>
    <w:p>
      <w:pPr>
        <w:pStyle w:val="FirstParagraph"/>
      </w:pPr>
      <w:r>
        <w:t xml:space="preserve">The Product Carbon Footprint of kihhjvlrkd clearly indicates that the **Use Phase** is the most significant hotspot, contributing approximately 81.6% of the total emissions. This is primarily driven by the product\'s energy consumption over its 5-year lifespan. The "Materials Acquisition &amp; Pre-processing" stage is the second largest contributor, accounting for about 12.6% of the total footprint, highlighting the importance of material selection and supply chain decarbonization.</w:t>
      </w:r>
    </w:p>
    <w:p>
      <w:pPr>
        <w:pStyle w:val="BodyText"/>
      </w:pPr>
      <w:r>
        <w:t xml:space="preserve">The "Production" stage (Scope 2) contributes a smaller but notable portion (6.2%), indicating opportunities for further investment in renewable energy at the manufacturing facility. Transportation emissions are relatively minor in comparison, and the End-of-Life stage demonstrates a net avoided emission due to effective recycling programs, showcasing the positive impact of circular economy initiatives.</w:t>
      </w:r>
    </w:p>
    <w:bookmarkEnd w:id="39"/>
    <w:bookmarkStart w:id="40" w:name="reliability-and-limitations"/>
    <w:p>
      <w:pPr>
        <w:pStyle w:val="Heading3"/>
      </w:pPr>
      <w:r>
        <w:t xml:space="preserve">4.2. Reliability and Limitations</w:t>
      </w:r>
    </w:p>
    <w:p>
      <w:pPr>
        <w:pStyle w:val="FirstParagraph"/>
      </w:pPr>
      <w:r>
        <w:t xml:space="preserve">The reliability of this PCF analysis is high due to the use of specific primary data for the Bill of Materials and customization parameters for energy usage, product lifespan, and recyclability. The adherence to GHG Protocol standards, including the 2026 updates for Scope 3 completeness (95% coverage) and data disaggregation, further enhances the robustness of the report.</w:t>
      </w:r>
    </w:p>
    <w:p>
      <w:pPr>
        <w:pStyle w:val="BodyText"/>
      </w:pPr>
      <w:r>
        <w:t xml:space="preserve">However, it is important to acknowledge certain limitations:</w:t>
      </w:r>
    </w:p>
    <w:p>
      <w:pPr>
        <w:numPr>
          <w:ilvl w:val="0"/>
          <w:numId w:val="1015"/>
        </w:numPr>
        <w:pStyle w:val="Compact"/>
      </w:pPr>
      <w:r>
        <w:rPr>
          <w:bCs/>
          <w:b/>
        </w:rPr>
        <w:t xml:space="preserve">Illustrative Emission Factors:</w:t>
      </w:r>
      <w:r>
        <w:t xml:space="preserve"> </w:t>
      </w:r>
      <w:r>
        <w:t xml:space="preserve">While industry-standard emission factors from reputable databases (e.g., MEE, DEFRA) were utilized, these are generic averages and may not perfectly reflect the specific operational efficiencies or fuel mixes of all individual suppliers in a complex global supply chain.</w:t>
      </w:r>
    </w:p>
    <w:p>
      <w:pPr>
        <w:numPr>
          <w:ilvl w:val="0"/>
          <w:numId w:val="1015"/>
        </w:numPr>
        <w:pStyle w:val="Compact"/>
      </w:pPr>
      <w:r>
        <w:rPr>
          <w:bCs/>
          <w:b/>
        </w:rPr>
        <w:t xml:space="preserve">Assumed Parameters:</w:t>
      </w:r>
      <w:r>
        <w:t xml:space="preserve"> </w:t>
      </w:r>
      <w:r>
        <w:t xml:space="preserve">For parameters provided as opaque strings (e.g., `jgpdeniiyq`, `Select Mode`, `Delivery Type`), illustrative values consistent with the geographic scope and industry practices were assumed for calculation. Actual values could lead to variations.</w:t>
      </w:r>
    </w:p>
    <w:p>
      <w:pPr>
        <w:numPr>
          <w:ilvl w:val="0"/>
          <w:numId w:val="1015"/>
        </w:numPr>
        <w:pStyle w:val="Compact"/>
      </w:pPr>
      <w:r>
        <w:rPr>
          <w:bCs/>
          <w:b/>
        </w:rPr>
        <w:t xml:space="preserve">Dynamic Standards:</w:t>
      </w:r>
      <w:r>
        <w:t xml:space="preserve"> </w:t>
      </w:r>
      <w:r>
        <w:t xml:space="preserve">The GHG Protocol, particularly Scope 3 and LSR, is subject to ongoing updates. This report reflects the latest available information as of March 2026 for Scope 3 and January 2026 for LSR, with full guidance for LSR expected in Q2 2026. Future revisions may necessitate re-evaluation.</w:t>
      </w:r>
    </w:p>
    <w:p>
      <w:pPr>
        <w:numPr>
          <w:ilvl w:val="0"/>
          <w:numId w:val="1015"/>
        </w:numPr>
        <w:pStyle w:val="Compact"/>
      </w:pPr>
      <w:r>
        <w:rPr>
          <w:bCs/>
          <w:b/>
        </w:rPr>
        <w:t xml:space="preserve">Scope 3 Upstream Completeness:</w:t>
      </w:r>
      <w:r>
        <w:t xml:space="preserve"> </w:t>
      </w:r>
      <w:r>
        <w:t xml:space="preserve">While a 95% coverage threshold is targeted, granular data for all upstream Scope 3 categories (e.g., capital goods, business travel for suppliers) were not provided and are generally estimated or considered immaterial based on the system boundary of \'factory_gate\'.</w:t>
      </w:r>
    </w:p>
    <w:bookmarkEnd w:id="40"/>
    <w:bookmarkStart w:id="41" w:name="recommendations-for-improvement"/>
    <w:p>
      <w:pPr>
        <w:pStyle w:val="Heading3"/>
      </w:pPr>
      <w:r>
        <w:t xml:space="preserve">4.3. Recommendations for Improvement</w:t>
      </w:r>
    </w:p>
    <w:p>
      <w:pPr>
        <w:pStyle w:val="FirstParagraph"/>
      </w:pPr>
      <w:r>
        <w:t xml:space="preserve">Based on this analysis, gxmeqrpkwf should focus on the following to reduce the carbon footprint of kihhjvlrkd:</w:t>
      </w:r>
    </w:p>
    <w:p>
      <w:pPr>
        <w:numPr>
          <w:ilvl w:val="0"/>
          <w:numId w:val="1016"/>
        </w:numPr>
        <w:pStyle w:val="Compact"/>
      </w:pPr>
      <w:r>
        <w:rPr>
          <w:bCs/>
          <w:b/>
        </w:rPr>
        <w:t xml:space="preserve">Use Phase Decarbonization:</w:t>
      </w:r>
      <w:r>
        <w:t xml:space="preserve"> </w:t>
      </w:r>
      <w:r>
        <w:t xml:space="preserve">Explore opportunities to reduce the product\'s energy consumption during its use phase. This could involve developing more energy-efficient designs, optimizing software/firmware for lower power modes, or investigating integration with smart home energy management systems. Encouraging users to power down when not in use can also yield significant reductions.</w:t>
      </w:r>
    </w:p>
    <w:p>
      <w:pPr>
        <w:numPr>
          <w:ilvl w:val="0"/>
          <w:numId w:val="1016"/>
        </w:numPr>
        <w:pStyle w:val="Compact"/>
      </w:pPr>
      <w:r>
        <w:rPr>
          <w:bCs/>
          <w:b/>
        </w:rPr>
        <w:t xml:space="preserve">Increased Renewable Energy Sourcing:</w:t>
      </w:r>
      <w:r>
        <w:t xml:space="preserve"> </w:t>
      </w:r>
      <w:r>
        <w:t xml:space="preserve">Continue to increase the percentage of renewable energy utilized in the production phase beyond the current 40%. Investing in on-site renewables or purchasing high-quality renewable energy credits can further reduce Scope 2 emissions.</w:t>
      </w:r>
    </w:p>
    <w:p>
      <w:pPr>
        <w:numPr>
          <w:ilvl w:val="0"/>
          <w:numId w:val="1016"/>
        </w:numPr>
        <w:pStyle w:val="Compact"/>
      </w:pPr>
      <w:r>
        <w:rPr>
          <w:bCs/>
          <w:b/>
        </w:rPr>
        <w:t xml:space="preserve">Supply Chain Engagement:</w:t>
      </w:r>
      <w:r>
        <w:t xml:space="preserve"> </w:t>
      </w:r>
      <w:r>
        <w:t xml:space="preserve">Work with material and component suppliers to identify opportunities for reducing their embedded emissions. This aligns with the new Scope 3 requirements for data disaggregation and traceability.</w:t>
      </w:r>
    </w:p>
    <w:p>
      <w:pPr>
        <w:numPr>
          <w:ilvl w:val="0"/>
          <w:numId w:val="1016"/>
        </w:numPr>
        <w:pStyle w:val="Compact"/>
      </w:pPr>
      <w:r>
        <w:rPr>
          <w:bCs/>
          <w:b/>
        </w:rPr>
        <w:t xml:space="preserve">Enhanced Circularity:</w:t>
      </w:r>
      <w:r>
        <w:t xml:space="preserve"> </w:t>
      </w:r>
      <w:r>
        <w:t xml:space="preserve">Leverage and expand the existing "Company-managed return &amp; recycling program" to further increase the recyclability percentage and ensure materials are captured and re-enter the circular economy. This will maximize the avoided emissions benefits from recycling.</w:t>
      </w:r>
    </w:p>
    <w:p>
      <w:pPr>
        <w:numPr>
          <w:ilvl w:val="0"/>
          <w:numId w:val="1016"/>
        </w:numPr>
        <w:pStyle w:val="Compact"/>
      </w:pPr>
      <w:r>
        <w:rPr>
          <w:bCs/>
          <w:b/>
        </w:rPr>
        <w:t xml:space="preserve">Life Cycle Data Management:</w:t>
      </w:r>
      <w:r>
        <w:t xml:space="preserve"> </w:t>
      </w:r>
      <w:r>
        <w:t xml:space="preserve">Develop robust systems for collecting and managing primary data across the entire value chain to further refine PCF calculations and reduce reliance on generic emission factors, aligning with the GHG Protocol\'s push for more granular and auditable data.</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kihhjvlrkd</dc:title>
  <dc:creator/>
  <dc:description>High-detail Product Carbon Footprint (PCF) analysis for kihhjvlrkd, prepared by shyqvsuuej, Senior Sustainability Consultant at gxmeqrpkwf, adhering to GHG Protocol standards and 2026 updates.</dc:description>
  <dc:language>en</dc:language>
  <cp:keywords/>
  <dcterms:created xsi:type="dcterms:W3CDTF">2026-07-15T12:43:32Z</dcterms:created>
  <dcterms:modified xsi:type="dcterms:W3CDTF">2026-07-15T12:43:32Z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