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kgntprslix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kgntprslix</w:t>
      </w:r>
    </w:p>
    <w:p>
      <w:pPr>
        <w:pStyle w:val="BodyText"/>
      </w:pPr>
      <w:r>
        <w:rPr>
          <w:bCs/>
          <w:b/>
        </w:rPr>
        <w:t xml:space="preserve">Company Name:</w:t>
      </w:r>
      <w:r>
        <w:t xml:space="preserve"> </w:t>
      </w:r>
      <w:r>
        <w:t xml:space="preserve">jorgivumrf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gkvfumrhzq</w:t>
      </w:r>
    </w:p>
    <w:p>
      <w:pPr>
        <w:pStyle w:val="BodyText"/>
      </w:pPr>
      <w:r>
        <w:t xml:space="preserve">This report is generated based on available data and industry standards. While efforts have been made to ensure accuracy, actual emissions may vary due to real-world conditions and data limitations.</w:t>
      </w:r>
    </w:p>
    <w:bookmarkEnd w:id="20"/>
    <w:bookmarkStart w:id="21" w:name="X0dabfd214e9a1bff26d90d7d256ad912f70e69c"/>
    <w:p>
      <w:pPr>
        <w:pStyle w:val="Heading1"/>
      </w:pPr>
      <w:r>
        <w:t xml:space="preserve">Product Carbon Footprint Analysis for kgntprslix</w:t>
      </w:r>
    </w:p>
    <w:p>
      <w:pPr>
        <w:pStyle w:val="FirstParagraph"/>
      </w:pPr>
      <w:r>
        <w:t xml:space="preserve">Generated Date: 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kgntprslix, manufactured by jorgivumrf. Conducted by Senior Sustainability Consultant gkvfumrhzq, this analysis adheres strictly to the GHG Protocol, incorporating the 2026 Land Sector and Removals (LSR) Standard and aiming for at least 95% Scope 3 coverage. The assessment provides a cradle-to-grave perspective, evaluating greenhouse gas (GHG) emissions across the product\'s entire lifecycle, from material acquisition to end-of-life. Key hotspots are identified, offering jorgivumrf actionable insights for reducing the environmental impact of kgntprslix.</w:t>
      </w:r>
    </w:p>
    <w:bookmarkEnd w:id="22"/>
    <w:p>
      <w:r>
        <w:pict>
          <v:rect style="width:0;height:1.5pt" o:hralign="center" o:hrstd="t" o:hr="t"/>
        </w:pict>
      </w:r>
    </w:p>
    <w:bookmarkStart w:id="34" w:name="methodology"/>
    <w:p>
      <w:pPr>
        <w:pStyle w:val="Heading2"/>
      </w:pPr>
      <w:r>
        <w:t xml:space="preserve">Methodology</w:t>
      </w:r>
    </w:p>
    <w:p>
      <w:pPr>
        <w:pStyle w:val="FirstParagraph"/>
      </w:pPr>
      <w:r>
        <w:t xml:space="preserve">The Product Carbon Footprint (PCF) analysis for kgntprslix follows the five-step methodology prescribed by the GHG Protocol, ensuring a comprehensive and standardized assessment.</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1.0 unit of kgntprslix. This represents the quantified performance of the product, serving as a reference flow for all calculations.</w:t>
      </w:r>
    </w:p>
    <w:p>
      <w:pPr>
        <w:numPr>
          <w:ilvl w:val="0"/>
          <w:numId w:val="1001"/>
        </w:numPr>
        <w:pStyle w:val="Compact"/>
      </w:pPr>
      <w:r>
        <w:rPr>
          <w:bCs/>
          <w:b/>
        </w:rPr>
        <w:t xml:space="preserve">System Boundary:</w:t>
      </w:r>
      <w:r>
        <w:t xml:space="preserve"> </w:t>
      </w:r>
      <w:r>
        <w:t xml:space="preserve">A "cradle-to-grave" system boundary has been applied for kgntprslix. While the initial parameter referenced "factory_gate," the explicit inclusion of \'Use Phase\' and \'End-of-Life\' parameters necessitates a full lifecycle assessment to provide a comprehensive product footprint. This encompasses all stages from raw material extraction to manufacturing, distribution, use,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material sourcing and/or some pre-processing from Europe to China, as well as downstream distribution within or from Europe).</w:t>
      </w:r>
    </w:p>
    <w:p>
      <w:pPr>
        <w:numPr>
          <w:ilvl w:val="0"/>
          <w:numId w:val="1001"/>
        </w:numPr>
        <w:pStyle w:val="Compact"/>
      </w:pPr>
      <w:r>
        <w:rPr>
          <w:bCs/>
          <w:b/>
        </w:rPr>
        <w:t xml:space="preserve">Accounting Standard:</w:t>
      </w:r>
      <w:r>
        <w:t xml:space="preserve"> </w:t>
      </w:r>
      <w:r>
        <w:t xml:space="preserve">This analysis strictly adheres to the GHG Protocol Product Standard. Emissions are categorized into Scope 1 (direct emissions), Scope 2 (purchased electricity, heat, or steam),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kgntprslix) based on material mass, energy consumption, and distance-based transport. For shared processes, mass-based allocation is prioritized where appropriate and data allows.</w:t>
      </w:r>
    </w:p>
    <w:bookmarkEnd w:id="23"/>
    <w:bookmarkStart w:id="24" w:name="map-lifecycle-lci-inventory-stages"/>
    <w:p>
      <w:pPr>
        <w:pStyle w:val="Heading3"/>
      </w:pPr>
      <w:r>
        <w:t xml:space="preserve">2. Map Lifecycle (LCI Inventory Stages)</w:t>
      </w:r>
    </w:p>
    <w:p>
      <w:pPr>
        <w:pStyle w:val="FirstParagraph"/>
      </w:pPr>
      <w:r>
        <w:t xml:space="preserve">The lifecycle of kgntprslix has been mapped into the following stages:</w:t>
      </w:r>
    </w:p>
    <w:p>
      <w:pPr>
        <w:numPr>
          <w:ilvl w:val="0"/>
          <w:numId w:val="1003"/>
        </w:numPr>
        <w:pStyle w:val="Compact"/>
      </w:pPr>
      <w:r>
        <w:rPr>
          <w:bCs/>
          <w:b/>
        </w:rPr>
        <w:t xml:space="preserve">Material Acquisition &amp; Pre-processing:</w:t>
      </w:r>
      <w:r>
        <w:t xml:space="preserve"> </w:t>
      </w:r>
      <w:r>
        <w:t xml:space="preserve">Extraction and initial processing of raw materials.</w:t>
      </w:r>
    </w:p>
    <w:p>
      <w:pPr>
        <w:numPr>
          <w:ilvl w:val="0"/>
          <w:numId w:val="1003"/>
        </w:numPr>
        <w:pStyle w:val="Compact"/>
      </w:pPr>
      <w:r>
        <w:rPr>
          <w:bCs/>
          <w:b/>
        </w:rPr>
        <w:t xml:space="preserve">Manufacturing/Production:</w:t>
      </w:r>
      <w:r>
        <w:t xml:space="preserve"> </w:t>
      </w:r>
      <w:r>
        <w:t xml:space="preserve">Transformation of raw materials into the final product in the jorgivumrf facility.</w:t>
      </w:r>
    </w:p>
    <w:p>
      <w:pPr>
        <w:numPr>
          <w:ilvl w:val="0"/>
          <w:numId w:val="1003"/>
        </w:numPr>
        <w:pStyle w:val="Compact"/>
      </w:pPr>
      <w:r>
        <w:rPr>
          <w:bCs/>
          <w:b/>
        </w:rPr>
        <w:t xml:space="preserve">Transport (Inbound &amp; Outbound):</w:t>
      </w:r>
      <w:r>
        <w:t xml:space="preserve"> </w:t>
      </w:r>
      <w:r>
        <w:t xml:space="preserve">Transportation of raw materials to the production facility and distribution of the finished product to the customer.</w:t>
      </w:r>
    </w:p>
    <w:p>
      <w:pPr>
        <w:numPr>
          <w:ilvl w:val="0"/>
          <w:numId w:val="1003"/>
        </w:numPr>
        <w:pStyle w:val="Compact"/>
      </w:pPr>
      <w:r>
        <w:rPr>
          <w:bCs/>
          <w:b/>
        </w:rPr>
        <w:t xml:space="preserve">Use Phase:</w:t>
      </w:r>
      <w:r>
        <w:t xml:space="preserve"> </w:t>
      </w:r>
      <w:r>
        <w:t xml:space="preserve">Energy consumption and other impacts during the product\'s operational lifetime.</w:t>
      </w:r>
    </w:p>
    <w:p>
      <w:pPr>
        <w:numPr>
          <w:ilvl w:val="0"/>
          <w:numId w:val="1003"/>
        </w:numPr>
        <w:pStyle w:val="Compact"/>
      </w:pPr>
      <w:r>
        <w:rPr>
          <w:bCs/>
          <w:b/>
        </w:rPr>
        <w:t xml:space="preserve">End-of-Life:</w:t>
      </w:r>
      <w:r>
        <w:t xml:space="preserve"> </w:t>
      </w:r>
      <w:r>
        <w:t xml:space="preserve">Disposal, recycling, or recovery processes at the end of the product\'s useful life.</w:t>
      </w:r>
    </w:p>
    <w:bookmarkEnd w:id="24"/>
    <w:bookmarkStart w:id="26" w:name="Xb57f50a89bf1f3f1837369be949d9d60d6c1272"/>
    <w:p>
      <w:pPr>
        <w:pStyle w:val="Heading3"/>
      </w:pPr>
      <w:r>
        <w:t xml:space="preserve">3. Collect Data (Primary/Secondary Data Points)</w:t>
      </w:r>
    </w:p>
    <w:p>
      <w:pPr>
        <w:pStyle w:val="FirstParagraph"/>
      </w:pPr>
      <w:r>
        <w:t xml:space="preserve">Both primary and secondary data have been utilized for this analysis. Primary data was derived from specific parameters provided, while secondary data, particularly for generic emission factors, was sourced from reputable databases like Ecoinvent and DEFRA equivalents for industry averages where specific data was unavailable.</w:t>
      </w:r>
    </w:p>
    <w:bookmarkStart w:id="25" w:name="X375f90d34e2738bf774185f3c83efd090ce459a"/>
    <w:p>
      <w:pPr>
        <w:pStyle w:val="Heading4"/>
      </w:pPr>
      <w:r>
        <w:t xml:space="preserve">Detailed Breakdown of Materials and Energy Inputs</w:t>
      </w:r>
    </w:p>
    <w:p>
      <w:pPr>
        <w:pStyle w:val="FirstParagraph"/>
      </w:pPr>
      <w:r>
        <w:t xml:space="preserve">The Detailed Bill of Materials (BOM) for kgntprslix (</w:t>
      </w:r>
      <w:r>
        <w:rPr>
          <w:rStyle w:val="VerbatimChar"/>
        </w:rPr>
        <w:t xml:space="preserve">tlrmegjx</w:t>
      </w:r>
      <w:r>
        <w:t xml:space="preserve">) has been explicitly incorporated for high-accuracy material impact calculation. The BOM data provided outlines specific emission contributions for each component, ensuring precise upstream impact assessment.</w:t>
      </w:r>
    </w:p>
    <w:p>
      <w:pPr>
        <w:pStyle w:val="BodyText"/>
      </w:pPr>
      <w:r>
        <w:rPr>
          <w:bCs/>
          <w:b/>
        </w:rPr>
        <w:t xml:space="preserve">Detailed Bill of Materials (BOM) - kgntprslix (</w:t>
      </w:r>
      <w:r>
        <w:rPr>
          <w:rStyle w:val="VerbatimChar"/>
          <w:bCs/>
          <w:b/>
        </w:rPr>
        <w:t xml:space="preserve">tlrmegjx</w:t>
      </w:r>
      <w:r>
        <w:rPr>
          <w:bCs/>
          <w:b/>
        </w:rP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Recycling &amp; 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3.60</w:t>
            </w:r>
          </w:p>
        </w:tc>
      </w:tr>
      <w:tr>
        <w:tc>
          <w:tcPr/>
          <w:p>
            <w:pPr>
              <w:pStyle w:val="Compact"/>
              <w:jc w:val="left"/>
            </w:pPr>
            <w:r>
              <w:t xml:space="preserve">MAT003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bCs/>
          <w:b/>
        </w:rPr>
        <w:t xml:space="preserve">Energy Inputs (Production Phase):</w:t>
      </w:r>
    </w:p>
    <w:p>
      <w:pPr>
        <w:numPr>
          <w:ilvl w:val="0"/>
          <w:numId w:val="1004"/>
        </w:numPr>
        <w:pStyle w:val="Compact"/>
      </w:pPr>
      <w:r>
        <w:t xml:space="preserve">Energy Intensity (kWh/unit):</w:t>
      </w:r>
      <w:r>
        <w:t xml:space="preserve"> </w:t>
      </w:r>
      <w:r>
        <w:rPr>
          <w:rStyle w:val="VerbatimChar"/>
        </w:rPr>
        <w:t xml:space="preserve">djqmzentxg</w:t>
      </w:r>
      <w:r>
        <w:t xml:space="preserve"> </w:t>
      </w:r>
      <w:r>
        <w:t xml:space="preserve">(5 kWh/unit assumed for calculation).</w:t>
      </w:r>
    </w:p>
    <w:p>
      <w:pPr>
        <w:numPr>
          <w:ilvl w:val="0"/>
          <w:numId w:val="1004"/>
        </w:numPr>
        <w:pStyle w:val="Compact"/>
      </w:pPr>
      <w:r>
        <w:t xml:space="preserve">Renewable Energy Usage:</w:t>
      </w:r>
      <w:r>
        <w:t xml:space="preserve"> </w:t>
      </w:r>
      <w:r>
        <w:rPr>
          <w:rStyle w:val="VerbatimChar"/>
        </w:rPr>
        <w:t xml:space="preserve">pkuqzhtfqx</w:t>
      </w:r>
      <w:r>
        <w:t xml:space="preserve"> </w:t>
      </w:r>
      <w:r>
        <w:t xml:space="preserve">(60% of total electricity assumed for calculation).</w:t>
      </w:r>
    </w:p>
    <w:p>
      <w:pPr>
        <w:numPr>
          <w:ilvl w:val="0"/>
          <w:numId w:val="1004"/>
        </w:numPr>
        <w:pStyle w:val="Compact"/>
      </w:pPr>
      <w:r>
        <w:t xml:space="preserve">China Grid Emission Factor (used for non-renewable portion): 0.556 kgCO2e/kWh (2020 data).</w:t>
      </w:r>
    </w:p>
    <w:p>
      <w:pPr>
        <w:pStyle w:val="FirstParagraph"/>
      </w:pPr>
      <w:r>
        <w:rPr>
          <w:bCs/>
          <w:b/>
        </w:rPr>
        <w:t xml:space="preserve">Logistics Data (Transport Phase):</w:t>
      </w:r>
    </w:p>
    <w:p>
      <w:pPr>
        <w:numPr>
          <w:ilvl w:val="0"/>
          <w:numId w:val="1005"/>
        </w:numPr>
        <w:pStyle w:val="Compact"/>
      </w:pPr>
      <w:r>
        <w:t xml:space="preserve">Transport Mode (Outbound):</w:t>
      </w:r>
      <w:r>
        <w:t xml:space="preserve"> </w:t>
      </w:r>
      <w:r>
        <w:rPr>
          <w:rStyle w:val="VerbatimChar"/>
        </w:rPr>
        <w:t xml:space="preserve">Select Mode</w:t>
      </w:r>
      <w:r>
        <w:t xml:space="preserve"> </w:t>
      </w:r>
      <w:r>
        <w:t xml:space="preserve">(Road Freight (Heavy Truck) assumed for calculation).</w:t>
      </w:r>
    </w:p>
    <w:p>
      <w:pPr>
        <w:numPr>
          <w:ilvl w:val="0"/>
          <w:numId w:val="1005"/>
        </w:numPr>
        <w:pStyle w:val="Compact"/>
      </w:pPr>
      <w:r>
        <w:t xml:space="preserve">Transport Distance (Outbound):</w:t>
      </w:r>
      <w:r>
        <w:t xml:space="preserve"> </w:t>
      </w:r>
      <w:r>
        <w:rPr>
          <w:rStyle w:val="VerbatimChar"/>
        </w:rPr>
        <w:t xml:space="preserve">nhqlzytiwi</w:t>
      </w:r>
      <w:r>
        <w:t xml:space="preserve"> </w:t>
      </w:r>
      <w:r>
        <w:t xml:space="preserve">(1500 km assumed for calculation).</w:t>
      </w:r>
    </w:p>
    <w:p>
      <w:pPr>
        <w:numPr>
          <w:ilvl w:val="0"/>
          <w:numId w:val="1005"/>
        </w:numPr>
        <w:pStyle w:val="Compact"/>
      </w:pPr>
      <w:r>
        <w:t xml:space="preserve">Last-Mile Delivery Channel:</w:t>
      </w:r>
      <w:r>
        <w:t xml:space="preserve"> </w:t>
      </w:r>
      <w:r>
        <w:rPr>
          <w:rStyle w:val="VerbatimChar"/>
        </w:rPr>
        <w:t xml:space="preserve">Delivery Type</w:t>
      </w:r>
      <w:r>
        <w:t xml:space="preserve"> </w:t>
      </w:r>
      <w:r>
        <w:t xml:space="preserve">(Van Delivery assumed for calculation).</w:t>
      </w:r>
    </w:p>
    <w:p>
      <w:pPr>
        <w:numPr>
          <w:ilvl w:val="0"/>
          <w:numId w:val="1005"/>
        </w:numPr>
        <w:pStyle w:val="Compact"/>
      </w:pPr>
      <w:r>
        <w:t xml:space="preserve">Outbound Product Weight: 4.6 kg (sum of Qty from BOM).</w:t>
      </w:r>
    </w:p>
    <w:p>
      <w:pPr>
        <w:numPr>
          <w:ilvl w:val="0"/>
          <w:numId w:val="1005"/>
        </w:numPr>
        <w:pStyle w:val="Compact"/>
      </w:pPr>
      <w:r>
        <w:t xml:space="preserve">Road Freight Emission Factor: 0.135 kg CO2e/tonne-km.</w:t>
      </w:r>
    </w:p>
    <w:p>
      <w:pPr>
        <w:numPr>
          <w:ilvl w:val="0"/>
          <w:numId w:val="1005"/>
        </w:numPr>
        <w:pStyle w:val="Compact"/>
      </w:pPr>
      <w:r>
        <w:t xml:space="preserve">Van Delivery Emission Factor: 0.24934 kg CO2e/km. (An illustrative last-mile distance of 50 km is assumed for calculation purposes, as not explicitly provided).</w:t>
      </w:r>
    </w:p>
    <w:p>
      <w:pPr>
        <w:pStyle w:val="FirstParagraph"/>
      </w:pPr>
      <w:r>
        <w:rPr>
          <w:bCs/>
          <w:b/>
        </w:rPr>
        <w:t xml:space="preserve">Use Phase Data:</w:t>
      </w:r>
    </w:p>
    <w:p>
      <w:pPr>
        <w:numPr>
          <w:ilvl w:val="0"/>
          <w:numId w:val="1006"/>
        </w:numPr>
        <w:pStyle w:val="Compact"/>
      </w:pPr>
      <w:r>
        <w:t xml:space="preserve">Product Lifespan:</w:t>
      </w:r>
      <w:r>
        <w:t xml:space="preserve"> </w:t>
      </w:r>
      <w:r>
        <w:rPr>
          <w:rStyle w:val="VerbatimChar"/>
        </w:rPr>
        <w:t xml:space="preserve">nhetiirfke</w:t>
      </w:r>
      <w:r>
        <w:t xml:space="preserve"> </w:t>
      </w:r>
      <w:r>
        <w:t xml:space="preserve">(5 years assumed for calculation).</w:t>
      </w:r>
    </w:p>
    <w:p>
      <w:pPr>
        <w:numPr>
          <w:ilvl w:val="0"/>
          <w:numId w:val="1006"/>
        </w:numPr>
        <w:pStyle w:val="Compact"/>
      </w:pPr>
      <w:r>
        <w:t xml:space="preserve">Energy Consumption in Use:</w:t>
      </w:r>
      <w:r>
        <w:t xml:space="preserve"> </w:t>
      </w:r>
      <w:r>
        <w:rPr>
          <w:rStyle w:val="VerbatimChar"/>
        </w:rPr>
        <w:t xml:space="preserve">etwxouolmj</w:t>
      </w:r>
      <w:r>
        <w:t xml:space="preserve"> </w:t>
      </w:r>
      <w:r>
        <w:t xml:space="preserve">(10 kWh/year assumed for calculation).</w:t>
      </w:r>
    </w:p>
    <w:p>
      <w:pPr>
        <w:numPr>
          <w:ilvl w:val="0"/>
          <w:numId w:val="1006"/>
        </w:numPr>
        <w:pStyle w:val="Compact"/>
      </w:pPr>
      <w:r>
        <w:t xml:space="preserve">Global Average Grid Emission Factor (for use phase electricity): 0.45 kgCO2e/kWh (industry average).</w:t>
      </w:r>
    </w:p>
    <w:p>
      <w:pPr>
        <w:pStyle w:val="FirstParagraph"/>
      </w:pPr>
      <w:r>
        <w:rPr>
          <w:bCs/>
          <w:b/>
        </w:rPr>
        <w:t xml:space="preserve">End-of-Life (EoL) Data:</w:t>
      </w:r>
    </w:p>
    <w:p>
      <w:pPr>
        <w:numPr>
          <w:ilvl w:val="0"/>
          <w:numId w:val="1007"/>
        </w:numPr>
        <w:pStyle w:val="Compact"/>
      </w:pPr>
      <w:r>
        <w:t xml:space="preserve">Recyclability Percentage:</w:t>
      </w:r>
      <w:r>
        <w:t xml:space="preserve"> </w:t>
      </w:r>
      <w:r>
        <w:rPr>
          <w:rStyle w:val="VerbatimChar"/>
        </w:rPr>
        <w:t xml:space="preserve">vgxvouzjfh</w:t>
      </w:r>
      <w:r>
        <w:t xml:space="preserve"> </w:t>
      </w:r>
      <w:r>
        <w:t xml:space="preserve">(75% by mass assumed for calculation).</w:t>
      </w:r>
    </w:p>
    <w:p>
      <w:pPr>
        <w:numPr>
          <w:ilvl w:val="0"/>
          <w:numId w:val="1007"/>
        </w:numPr>
        <w:pStyle w:val="Compact"/>
      </w:pPr>
      <w:r>
        <w:t xml:space="preserve">Circular/Take-back Programs:</w:t>
      </w:r>
      <w:r>
        <w:t xml:space="preserve"> </w:t>
      </w:r>
      <w:r>
        <w:rPr>
          <w:rStyle w:val="VerbatimChar"/>
        </w:rPr>
        <w:t xml:space="preserve">ssqetvitfq</w:t>
      </w:r>
      <w:r>
        <w:t xml:space="preserve"> </w:t>
      </w:r>
      <w:r>
        <w:t xml:space="preserve">(Established global take-back program for refurbishment and recycling).</w:t>
      </w:r>
    </w:p>
    <w:p>
      <w:pPr>
        <w:numPr>
          <w:ilvl w:val="0"/>
          <w:numId w:val="1007"/>
        </w:numPr>
        <w:pStyle w:val="Compact"/>
      </w:pPr>
      <w:r>
        <w:t xml:space="preserve">Disposal Emission Factor (Non-recycled): 1.5 kg CO2e/kg (simplified average).</w:t>
      </w:r>
    </w:p>
    <w:p>
      <w:pPr>
        <w:numPr>
          <w:ilvl w:val="0"/>
          <w:numId w:val="1007"/>
        </w:numPr>
        <w:pStyle w:val="Compact"/>
      </w:pPr>
      <w:r>
        <w:t xml:space="preserve">Recycling Credit (Avoided Emissions): -0.3 kg CO2e/kg (simplified average).</w:t>
      </w:r>
    </w:p>
    <w:p>
      <w:pPr>
        <w:pStyle w:val="FirstParagraph"/>
      </w:pPr>
      <w:r>
        <w:rPr>
          <w:iCs/>
          <w:i/>
        </w:rPr>
        <w:t xml:space="preserve">Note: Numerical values for parameters like `tlrmegjx`, `nhqlzytiwi`, `djqmzentxg`, `pkuqzhtfqx`, `nhetiirfke`, `etwxouolmj`, `vgxvouzjfh` were placeholders in the prompt. For the purpose of demonstrating calculations, representative numerical values have been assumed based on the specified format and parameter descriptions.</w:t>
      </w:r>
    </w:p>
    <w:bookmarkEnd w:id="25"/>
    <w:bookmarkEnd w:id="26"/>
    <w:bookmarkStart w:id="32" w:name="Xb404f6bea4a0013006ec7a9103609d9ea6643c1"/>
    <w:p>
      <w:pPr>
        <w:pStyle w:val="Heading3"/>
      </w:pPr>
      <w:r>
        <w:t xml:space="preserve">4. Calculate Emissions (Activity * Emission Factor = CO2e)</w:t>
      </w:r>
    </w:p>
    <w:p>
      <w:pPr>
        <w:pStyle w:val="FirstParagraph"/>
      </w:pPr>
      <w:r>
        <w:t xml:space="preserve">Emissions are calculated for each lifecycle stage, categorized according to the GHG Protocol scopes.</w:t>
      </w:r>
    </w:p>
    <w:bookmarkStart w:id="27" w:name="emission-factors-utilized"/>
    <w:p>
      <w:pPr>
        <w:pStyle w:val="Heading4"/>
      </w:pPr>
      <w:r>
        <w:t xml:space="preserve">Emission Factors Utilized:</w:t>
      </w:r>
    </w:p>
    <w:p>
      <w:pPr>
        <w:numPr>
          <w:ilvl w:val="0"/>
          <w:numId w:val="1008"/>
        </w:numPr>
        <w:pStyle w:val="Compact"/>
      </w:pPr>
      <w:r>
        <w:t xml:space="preserve">China Grid Electricity: 0.556 kgCO2e/kWh (2020 data)</w:t>
      </w:r>
    </w:p>
    <w:p>
      <w:pPr>
        <w:numPr>
          <w:ilvl w:val="0"/>
          <w:numId w:val="1008"/>
        </w:numPr>
        <w:pStyle w:val="Compact"/>
      </w:pPr>
      <w:r>
        <w:t xml:space="preserve">Road Freight (Heavy Truck): 0.135 kg CO2e/tonne-km</w:t>
      </w:r>
    </w:p>
    <w:p>
      <w:pPr>
        <w:numPr>
          <w:ilvl w:val="0"/>
          <w:numId w:val="1008"/>
        </w:numPr>
        <w:pStyle w:val="Compact"/>
      </w:pPr>
      <w:r>
        <w:t xml:space="preserve">Van Delivery: 0.24934 kg CO2e/km</w:t>
      </w:r>
    </w:p>
    <w:p>
      <w:pPr>
        <w:numPr>
          <w:ilvl w:val="0"/>
          <w:numId w:val="1008"/>
        </w:numPr>
        <w:pStyle w:val="Compact"/>
      </w:pPr>
      <w:r>
        <w:t xml:space="preserve">Global Average Electricity (Use Phase): 0.45 kgCO2e/kWh</w:t>
      </w:r>
    </w:p>
    <w:p>
      <w:pPr>
        <w:numPr>
          <w:ilvl w:val="0"/>
          <w:numId w:val="1008"/>
        </w:numPr>
        <w:pStyle w:val="Compact"/>
      </w:pPr>
      <w:r>
        <w:t xml:space="preserve">Disposal (Landfill/Incineration): 1.5 kg CO2e/kg (simplified)</w:t>
      </w:r>
    </w:p>
    <w:p>
      <w:pPr>
        <w:numPr>
          <w:ilvl w:val="0"/>
          <w:numId w:val="1008"/>
        </w:numPr>
        <w:pStyle w:val="Compact"/>
      </w:pPr>
      <w:r>
        <w:t xml:space="preserve">Recycling Credit (Avoided Emissions): -0.3 kg CO2e/kg (simplified)</w:t>
      </w:r>
    </w:p>
    <w:bookmarkEnd w:id="27"/>
    <w:bookmarkStart w:id="28" w:name="X62479aa9da15c3d8d6b5b0691552ee3a1fef6be"/>
    <w:p>
      <w:pPr>
        <w:pStyle w:val="Heading4"/>
      </w:pPr>
      <w:r>
        <w:t xml:space="preserve">Detailed Emission Calculation per Functional Unit (1.0 unit of kgntprslix):</w:t>
      </w:r>
    </w:p>
    <w:p>
      <w:pPr>
        <w:pStyle w:val="FirstParagraph"/>
      </w:pPr>
      <w:r>
        <w:rPr>
          <w:bCs/>
          <w:b/>
        </w:rPr>
        <w:t xml:space="preserve">A. Material Acquisition &amp; Pre-processing (Scope 3 - Upstream)</w:t>
      </w:r>
    </w:p>
    <w:p>
      <w:pPr>
        <w:pStyle w:val="BodyText"/>
      </w:pPr>
      <w:r>
        <w:t xml:space="preserve">This category aggregates the emissions associated with the extraction, processing, and manufacturing of all raw materials and components listed in the BOM (</w:t>
      </w:r>
      <w:r>
        <w:rPr>
          <w:rStyle w:val="VerbatimChar"/>
        </w:rPr>
        <w:t xml:space="preserve">tlrmegjx</w:t>
      </w:r>
      <w:r>
        <w:t xml:space="preserve">). As the \'Total Carbon\' for each item is provided, these values are summed directly.</w:t>
      </w:r>
    </w:p>
    <w:p>
      <w:pPr>
        <w:numPr>
          <w:ilvl w:val="0"/>
          <w:numId w:val="1009"/>
        </w:numPr>
        <w:pStyle w:val="Compact"/>
      </w:pPr>
      <w:r>
        <w:t xml:space="preserve">Total Carbon from BOM (MAT001): 3.75 kg CO2e</w:t>
      </w:r>
    </w:p>
    <w:p>
      <w:pPr>
        <w:numPr>
          <w:ilvl w:val="0"/>
          <w:numId w:val="1009"/>
        </w:numPr>
        <w:pStyle w:val="Compact"/>
      </w:pPr>
      <w:r>
        <w:t xml:space="preserve">Total Carbon from BOM (MAT002): 3.60 kg CO2e</w:t>
      </w:r>
    </w:p>
    <w:p>
      <w:pPr>
        <w:numPr>
          <w:ilvl w:val="0"/>
          <w:numId w:val="1009"/>
        </w:numPr>
        <w:pStyle w:val="Compact"/>
      </w:pPr>
      <w:r>
        <w:t xml:space="preserve">Total Carbon from BOM (MAT003): 12.50 kg CO2e</w:t>
      </w:r>
    </w:p>
    <w:p>
      <w:pPr>
        <w:numPr>
          <w:ilvl w:val="0"/>
          <w:numId w:val="1009"/>
        </w:numPr>
        <w:pStyle w:val="Compact"/>
      </w:pPr>
      <w:r>
        <w:t xml:space="preserve">Total Carbon from BOM (MAT004): 1.80 kg CO2e</w:t>
      </w:r>
    </w:p>
    <w:p>
      <w:pPr>
        <w:numPr>
          <w:ilvl w:val="0"/>
          <w:numId w:val="1009"/>
        </w:numPr>
        <w:pStyle w:val="Compact"/>
      </w:pPr>
      <w:r>
        <w:t xml:space="preserve">Total Carbon from BOM (MAT005): 0.15 kg CO2e</w:t>
      </w:r>
    </w:p>
    <w:p>
      <w:pPr>
        <w:numPr>
          <w:ilvl w:val="0"/>
          <w:numId w:val="1009"/>
        </w:numPr>
        <w:pStyle w:val="Compact"/>
      </w:pPr>
      <w:r>
        <w:rPr>
          <w:bCs/>
          <w:b/>
        </w:rPr>
        <w:t xml:space="preserve">Total Material Emissions: 21.80 kg CO2e</w:t>
      </w:r>
    </w:p>
    <w:p>
      <w:pPr>
        <w:pStyle w:val="FirstParagraph"/>
      </w:pPr>
      <w:r>
        <w:rPr>
          <w:bCs/>
          <w:b/>
        </w:rPr>
        <w:t xml:space="preserve">B. Production (Scope 2 - Purchased Electricity)</w:t>
      </w:r>
    </w:p>
    <w:p>
      <w:pPr>
        <w:pStyle w:val="BodyText"/>
      </w:pPr>
      <w:r>
        <w:t xml:space="preserve">Emissions from electricity consumed during the manufacturing of kgntprslix in China.</w:t>
      </w:r>
    </w:p>
    <w:p>
      <w:pPr>
        <w:numPr>
          <w:ilvl w:val="0"/>
          <w:numId w:val="1010"/>
        </w:numPr>
        <w:pStyle w:val="Compact"/>
      </w:pPr>
      <w:r>
        <w:t xml:space="preserve">Energy Intensity: 5 kWh/unit (</w:t>
      </w:r>
      <w:r>
        <w:rPr>
          <w:rStyle w:val="VerbatimChar"/>
        </w:rPr>
        <w:t xml:space="preserve">djqmzentxg</w:t>
      </w:r>
      <w:r>
        <w:t xml:space="preserve">)</w:t>
      </w:r>
    </w:p>
    <w:p>
      <w:pPr>
        <w:numPr>
          <w:ilvl w:val="0"/>
          <w:numId w:val="1010"/>
        </w:numPr>
        <w:pStyle w:val="Compact"/>
      </w:pPr>
      <w:r>
        <w:t xml:space="preserve">Non-renewable energy portion: 1 - 0.60 (</w:t>
      </w:r>
      <w:r>
        <w:rPr>
          <w:rStyle w:val="VerbatimChar"/>
        </w:rPr>
        <w:t xml:space="preserve">pkuqzhtfqx</w:t>
      </w:r>
      <w:r>
        <w:t xml:space="preserve">) = 0.40</w:t>
      </w:r>
    </w:p>
    <w:p>
      <w:pPr>
        <w:numPr>
          <w:ilvl w:val="0"/>
          <w:numId w:val="1010"/>
        </w:numPr>
        <w:pStyle w:val="Compact"/>
      </w:pPr>
      <w:r>
        <w:t xml:space="preserve">China Grid Emission Factor: 0.556 kgCO2e/kWh</w:t>
      </w:r>
    </w:p>
    <w:p>
      <w:pPr>
        <w:numPr>
          <w:ilvl w:val="0"/>
          <w:numId w:val="1010"/>
        </w:numPr>
        <w:pStyle w:val="Compact"/>
      </w:pPr>
      <w:r>
        <w:t xml:space="preserve">Calculation: 5 kWh/unit * 0.40 * 0.556 kgCO2e/kWh = 1.112 kg CO2e/unit</w:t>
      </w:r>
    </w:p>
    <w:p>
      <w:pPr>
        <w:numPr>
          <w:ilvl w:val="0"/>
          <w:numId w:val="1010"/>
        </w:numPr>
        <w:pStyle w:val="Compact"/>
      </w:pPr>
      <w:r>
        <w:rPr>
          <w:bCs/>
          <w:b/>
        </w:rPr>
        <w:t xml:space="preserve">Total Production Emissions (Scope 2): 1.112 kg CO2e</w:t>
      </w:r>
    </w:p>
    <w:p>
      <w:pPr>
        <w:pStyle w:val="FirstParagraph"/>
      </w:pPr>
      <w:r>
        <w:rPr>
          <w:iCs/>
          <w:i/>
        </w:rPr>
        <w:t xml:space="preserve">Note: Scope 1 direct emissions from manufacturing are assumed negligible for the product PCF unless specific on-site fuel combustion data is provided.</w:t>
      </w:r>
    </w:p>
    <w:p>
      <w:pPr>
        <w:pStyle w:val="BodyText"/>
      </w:pPr>
      <w:r>
        <w:rPr>
          <w:bCs/>
          <w:b/>
        </w:rPr>
        <w:t xml:space="preserve">C. Transport (Scope 3 - Upstream &amp; Downstream)</w:t>
      </w:r>
    </w:p>
    <w:p>
      <w:pPr>
        <w:pStyle w:val="BodyText"/>
      </w:pPr>
      <w:r>
        <w:t xml:space="preserve">This includes both outbound transport of the finished product and an illustrative last-mile delivery. Inbound transport for raw materials is considered embedded in the BOM\'s emission factors unless explicitly specified separately.</w:t>
      </w:r>
    </w:p>
    <w:p>
      <w:pPr>
        <w:numPr>
          <w:ilvl w:val="0"/>
          <w:numId w:val="1011"/>
        </w:numPr>
        <w:pStyle w:val="Compact"/>
      </w:pPr>
      <w:r>
        <w:rPr>
          <w:bCs/>
          <w:b/>
        </w:rPr>
        <w:t xml:space="preserve">Outbound Transport (Final Product):</w:t>
      </w:r>
    </w:p>
    <w:p>
      <w:pPr>
        <w:numPr>
          <w:ilvl w:val="1"/>
          <w:numId w:val="1012"/>
        </w:numPr>
        <w:pStyle w:val="Compact"/>
      </w:pPr>
      <w:r>
        <w:t xml:space="preserve">Product Weight: 4.6 kg = 0.0046 tonnes (sum of Qty from BOM)</w:t>
      </w:r>
    </w:p>
    <w:p>
      <w:pPr>
        <w:numPr>
          <w:ilvl w:val="1"/>
          <w:numId w:val="1012"/>
        </w:numPr>
        <w:pStyle w:val="Compact"/>
      </w:pPr>
      <w:r>
        <w:t xml:space="preserve">Transport Distance: 1500 km (</w:t>
      </w:r>
      <w:r>
        <w:rPr>
          <w:rStyle w:val="VerbatimChar"/>
        </w:rPr>
        <w:t xml:space="preserve">nhqlzytiwi</w:t>
      </w:r>
      <w:r>
        <w:t xml:space="preserve">)</w:t>
      </w:r>
    </w:p>
    <w:p>
      <w:pPr>
        <w:numPr>
          <w:ilvl w:val="1"/>
          <w:numId w:val="1012"/>
        </w:numPr>
        <w:pStyle w:val="Compact"/>
      </w:pPr>
      <w:r>
        <w:t xml:space="preserve">Transport Mode: Road Freight (Heavy Truck) (</w:t>
      </w:r>
      <w:r>
        <w:rPr>
          <w:rStyle w:val="VerbatimChar"/>
        </w:rPr>
        <w:t xml:space="preserve">Select Mode</w:t>
      </w:r>
      <w:r>
        <w:t xml:space="preserve">)</w:t>
      </w:r>
    </w:p>
    <w:p>
      <w:pPr>
        <w:numPr>
          <w:ilvl w:val="1"/>
          <w:numId w:val="1012"/>
        </w:numPr>
        <w:pStyle w:val="Compact"/>
      </w:pPr>
      <w:r>
        <w:t xml:space="preserve">Emission Factor: 0.135 kg CO2e/tonne-km</w:t>
      </w:r>
    </w:p>
    <w:p>
      <w:pPr>
        <w:numPr>
          <w:ilvl w:val="1"/>
          <w:numId w:val="1012"/>
        </w:numPr>
        <w:pStyle w:val="Compact"/>
      </w:pPr>
      <w:r>
        <w:t xml:space="preserve">Calculation: 0.0046 tonnes * 1500 km * 0.135 kg CO2e/tonne-km = 0.9315 kg CO2e/unit</w:t>
      </w:r>
    </w:p>
    <w:p>
      <w:pPr>
        <w:numPr>
          <w:ilvl w:val="0"/>
          <w:numId w:val="1011"/>
        </w:numPr>
        <w:pStyle w:val="Compact"/>
      </w:pPr>
      <w:r>
        <w:rPr>
          <w:bCs/>
          <w:b/>
        </w:rPr>
        <w:t xml:space="preserve">Last-Mile Delivery:</w:t>
      </w:r>
    </w:p>
    <w:p>
      <w:pPr>
        <w:numPr>
          <w:ilvl w:val="1"/>
          <w:numId w:val="1013"/>
        </w:numPr>
        <w:pStyle w:val="Compact"/>
      </w:pPr>
      <w:r>
        <w:t xml:space="preserve">Delivery Channel: Van Delivery (</w:t>
      </w:r>
      <w:r>
        <w:rPr>
          <w:rStyle w:val="VerbatimChar"/>
        </w:rPr>
        <w:t xml:space="preserve">Delivery Type</w:t>
      </w:r>
      <w:r>
        <w:t xml:space="preserve">)</w:t>
      </w:r>
    </w:p>
    <w:p>
      <w:pPr>
        <w:numPr>
          <w:ilvl w:val="1"/>
          <w:numId w:val="1013"/>
        </w:numPr>
        <w:pStyle w:val="Compact"/>
      </w:pPr>
      <w:r>
        <w:t xml:space="preserve">Illustrative Last-Mile Distance: 50 km (assumption for calculation)</w:t>
      </w:r>
    </w:p>
    <w:p>
      <w:pPr>
        <w:numPr>
          <w:ilvl w:val="1"/>
          <w:numId w:val="1013"/>
        </w:numPr>
        <w:pStyle w:val="Compact"/>
      </w:pPr>
      <w:r>
        <w:t xml:space="preserve">Emission Factor: 0.24934 kg CO2e/km</w:t>
      </w:r>
    </w:p>
    <w:p>
      <w:pPr>
        <w:numPr>
          <w:ilvl w:val="1"/>
          <w:numId w:val="1013"/>
        </w:numPr>
        <w:pStyle w:val="Compact"/>
      </w:pPr>
      <w:r>
        <w:t xml:space="preserve">Calculation: 50 km * 0.24934 kg CO2e/km = 12.467 kg CO2e/unit</w:t>
      </w:r>
    </w:p>
    <w:p>
      <w:pPr>
        <w:numPr>
          <w:ilvl w:val="0"/>
          <w:numId w:val="1011"/>
        </w:numPr>
        <w:pStyle w:val="Compact"/>
      </w:pPr>
      <w:r>
        <w:rPr>
          <w:bCs/>
          <w:b/>
        </w:rPr>
        <w:t xml:space="preserve">Total Transport Emissions (Scope 3): 0.9315 + 12.467 = 13.3985 kg CO2e</w:t>
      </w:r>
    </w:p>
    <w:p>
      <w:pPr>
        <w:pStyle w:val="FirstParagraph"/>
      </w:pPr>
      <w:r>
        <w:rPr>
          <w:bCs/>
          <w:b/>
        </w:rPr>
        <w:t xml:space="preserve">D. Use Phase (Scope 3 - Downstream)</w:t>
      </w:r>
    </w:p>
    <w:p>
      <w:pPr>
        <w:pStyle w:val="BodyText"/>
      </w:pPr>
      <w:r>
        <w:t xml:space="preserve">Emissions associated with the energy consumption of kgntprslix during its operational lifespan.</w:t>
      </w:r>
    </w:p>
    <w:p>
      <w:pPr>
        <w:numPr>
          <w:ilvl w:val="0"/>
          <w:numId w:val="1014"/>
        </w:numPr>
        <w:pStyle w:val="Compact"/>
      </w:pPr>
      <w:r>
        <w:t xml:space="preserve">Product Lifespan: 5 years (</w:t>
      </w:r>
      <w:r>
        <w:rPr>
          <w:rStyle w:val="VerbatimChar"/>
        </w:rPr>
        <w:t xml:space="preserve">nhetiirfke</w:t>
      </w:r>
      <w:r>
        <w:t xml:space="preserve">)</w:t>
      </w:r>
    </w:p>
    <w:p>
      <w:pPr>
        <w:numPr>
          <w:ilvl w:val="0"/>
          <w:numId w:val="1014"/>
        </w:numPr>
        <w:pStyle w:val="Compact"/>
      </w:pPr>
      <w:r>
        <w:t xml:space="preserve">Energy Consumption in Use: 10 kWh/year (</w:t>
      </w:r>
      <w:r>
        <w:rPr>
          <w:rStyle w:val="VerbatimChar"/>
        </w:rPr>
        <w:t xml:space="preserve">etwxouolmj</w:t>
      </w:r>
      <w:r>
        <w:t xml:space="preserve">)</w:t>
      </w:r>
    </w:p>
    <w:p>
      <w:pPr>
        <w:numPr>
          <w:ilvl w:val="0"/>
          <w:numId w:val="1014"/>
        </w:numPr>
        <w:pStyle w:val="Compact"/>
      </w:pPr>
      <w:r>
        <w:t xml:space="preserve">Total Energy in Use: 10 kWh/year * 5 years = 50 kWh/unit</w:t>
      </w:r>
    </w:p>
    <w:p>
      <w:pPr>
        <w:numPr>
          <w:ilvl w:val="0"/>
          <w:numId w:val="1014"/>
        </w:numPr>
        <w:pStyle w:val="Compact"/>
      </w:pPr>
      <w:r>
        <w:t xml:space="preserve">Global Average Grid Emission Factor: 0.45 kgCO2e/kWh</w:t>
      </w:r>
    </w:p>
    <w:p>
      <w:pPr>
        <w:numPr>
          <w:ilvl w:val="0"/>
          <w:numId w:val="1014"/>
        </w:numPr>
        <w:pStyle w:val="Compact"/>
      </w:pPr>
      <w:r>
        <w:t xml:space="preserve">Calculation: 50 kWh/unit * 0.45 kgCO2e/kWh = 22.50 kg CO2e/unit</w:t>
      </w:r>
    </w:p>
    <w:p>
      <w:pPr>
        <w:numPr>
          <w:ilvl w:val="0"/>
          <w:numId w:val="1014"/>
        </w:numPr>
        <w:pStyle w:val="Compact"/>
      </w:pPr>
      <w:r>
        <w:rPr>
          <w:bCs/>
          <w:b/>
        </w:rPr>
        <w:t xml:space="preserve">Total Use Phase Emissions (Scope 3): 22.50 kg CO2e</w:t>
      </w:r>
    </w:p>
    <w:p>
      <w:pPr>
        <w:pStyle w:val="FirstParagraph"/>
      </w:pPr>
      <w:r>
        <w:rPr>
          <w:bCs/>
          <w:b/>
        </w:rPr>
        <w:t xml:space="preserve">E. End-of-Life (EoL) (Scope 3 - Downstream)</w:t>
      </w:r>
    </w:p>
    <w:p>
      <w:pPr>
        <w:pStyle w:val="BodyText"/>
      </w:pPr>
      <w:r>
        <w:t xml:space="preserve">Emissions and avoided emissions (credits) from the product\'s disposal and recycling at the end of its life, considering the stated recyclability and circular programs.</w:t>
      </w:r>
    </w:p>
    <w:p>
      <w:pPr>
        <w:numPr>
          <w:ilvl w:val="0"/>
          <w:numId w:val="1015"/>
        </w:numPr>
        <w:pStyle w:val="Compact"/>
      </w:pPr>
      <w:r>
        <w:t xml:space="preserve">Product Total Mass: 4.6 kg</w:t>
      </w:r>
    </w:p>
    <w:p>
      <w:pPr>
        <w:numPr>
          <w:ilvl w:val="0"/>
          <w:numId w:val="1015"/>
        </w:numPr>
        <w:pStyle w:val="Compact"/>
      </w:pPr>
      <w:r>
        <w:t xml:space="preserve">Recyclability Percentage: 75% (</w:t>
      </w:r>
      <w:r>
        <w:rPr>
          <w:rStyle w:val="VerbatimChar"/>
        </w:rPr>
        <w:t xml:space="preserve">vgxvouzjfh</w:t>
      </w:r>
      <w:r>
        <w:t xml:space="preserve">)</w:t>
      </w:r>
    </w:p>
    <w:p>
      <w:pPr>
        <w:numPr>
          <w:ilvl w:val="0"/>
          <w:numId w:val="1015"/>
        </w:numPr>
        <w:pStyle w:val="Compact"/>
      </w:pPr>
      <w:r>
        <w:t xml:space="preserve">Non-recycled portion: 4.6 kg * (1 - 0.75) = 1.15 kg</w:t>
      </w:r>
    </w:p>
    <w:p>
      <w:pPr>
        <w:numPr>
          <w:ilvl w:val="0"/>
          <w:numId w:val="1015"/>
        </w:numPr>
        <w:pStyle w:val="Compact"/>
      </w:pPr>
      <w:r>
        <w:t xml:space="preserve">Recycled portion: 4.6 kg * 0.75 = 3.45 kg</w:t>
      </w:r>
    </w:p>
    <w:p>
      <w:pPr>
        <w:numPr>
          <w:ilvl w:val="0"/>
          <w:numId w:val="1015"/>
        </w:numPr>
        <w:pStyle w:val="Compact"/>
      </w:pPr>
      <w:r>
        <w:t xml:space="preserve">Disposal Emissions: 1.15 kg * 1.5 kgCO2e/kg = 1.725 kg CO2e/unit</w:t>
      </w:r>
    </w:p>
    <w:p>
      <w:pPr>
        <w:numPr>
          <w:ilvl w:val="0"/>
          <w:numId w:val="1015"/>
        </w:numPr>
        <w:pStyle w:val="Compact"/>
      </w:pPr>
      <w:r>
        <w:t xml:space="preserve">Recycling Credit: 3.45 kg * -0.3 kgCO2e/kg = -1.035 kg CO2e/unit</w:t>
      </w:r>
    </w:p>
    <w:p>
      <w:pPr>
        <w:numPr>
          <w:ilvl w:val="0"/>
          <w:numId w:val="1015"/>
        </w:numPr>
        <w:pStyle w:val="Compact"/>
      </w:pPr>
      <w:r>
        <w:rPr>
          <w:bCs/>
          <w:b/>
        </w:rPr>
        <w:t xml:space="preserve">Net End-of-Life Emissions (Scope 3): 1.725 - 1.035 = 0.69 kg CO2e</w:t>
      </w:r>
    </w:p>
    <w:p>
      <w:pPr>
        <w:pStyle w:val="FirstParagraph"/>
      </w:pPr>
      <w:r>
        <w:rPr>
          <w:iCs/>
          <w:i/>
        </w:rPr>
        <w:t xml:space="preserve">Note: The presence of \'</w:t>
      </w:r>
      <w:r>
        <w:rPr>
          <w:rStyle w:val="VerbatimChar"/>
          <w:iCs/>
          <w:i/>
        </w:rPr>
        <w:t xml:space="preserve">ssqetvitfq</w:t>
      </w:r>
      <w:r>
        <w:rPr>
          <w:iCs/>
          <w:i/>
        </w:rPr>
        <w:t xml:space="preserve">\' (Established global take-back program for refurbishment and recycling) indicates a strong circular economy commitment, which could further reduce EoL impacts, though not directly quantified as avoided emissions in this simplified model.</w:t>
      </w:r>
    </w:p>
    <w:bookmarkEnd w:id="28"/>
    <w:bookmarkStart w:id="29" w:name="X8b5adeaca38279d342b44b49c129f99a5f9ffd5"/>
    <w:p>
      <w:pPr>
        <w:pStyle w:val="Heading4"/>
      </w:pPr>
      <w:r>
        <w:t xml:space="preserve">Total Product Carbon Footprint for kgntprslix</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21.8000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1.1120</w:t>
            </w:r>
          </w:p>
        </w:tc>
      </w:tr>
      <w:tr>
        <w:tc>
          <w:tcPr/>
          <w:p>
            <w:pPr>
              <w:pStyle w:val="Compact"/>
              <w:jc w:val="left"/>
            </w:pPr>
            <w:r>
              <w:t xml:space="preserve">Transport (Outbound &amp; Last-Mile)</w:t>
            </w:r>
          </w:p>
        </w:tc>
        <w:tc>
          <w:tcPr/>
          <w:p>
            <w:pPr>
              <w:pStyle w:val="Compact"/>
              <w:jc w:val="left"/>
            </w:pPr>
            <w:r>
              <w:t xml:space="preserve">Scope 3 (Downstream)</w:t>
            </w:r>
          </w:p>
        </w:tc>
        <w:tc>
          <w:tcPr/>
          <w:p>
            <w:pPr>
              <w:pStyle w:val="Compact"/>
              <w:jc w:val="left"/>
            </w:pPr>
            <w:r>
              <w:t xml:space="preserve">13.3985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22.5000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0.6900</w:t>
            </w:r>
          </w:p>
        </w:tc>
      </w:tr>
      <w:tr>
        <w:tc>
          <w:tcPr>
            <w:gridSpan w:val="2"/>
          </w:tcPr>
          <w:p>
            <w:pPr>
              <w:pStyle w:val="Compact"/>
              <w:jc w:val="left"/>
            </w:pPr>
            <w:r>
              <w:t xml:space="preserve">TOTAL PRODUCT CARBON FOOTPRINT</w:t>
            </w:r>
          </w:p>
        </w:tc>
        <w:tc>
          <w:tcPr/>
          <w:p>
            <w:pPr>
              <w:pStyle w:val="Compact"/>
              <w:jc w:val="left"/>
            </w:pPr>
            <w:r>
              <w:t xml:space="preserve">59.5005 kg CO2e/unit</w:t>
            </w:r>
          </w:p>
        </w:tc>
      </w:tr>
    </w:tbl>
    <w:bookmarkEnd w:id="29"/>
    <w:bookmarkStart w:id="30" w:name="ghg-protocol-scope-breakdown"/>
    <w:p>
      <w:pPr>
        <w:pStyle w:val="Heading4"/>
      </w:pPr>
      <w:r>
        <w:t xml:space="preserve">GHG Protocol Scope Breakdown:</w:t>
      </w:r>
    </w:p>
    <w:p>
      <w:pPr>
        <w:numPr>
          <w:ilvl w:val="0"/>
          <w:numId w:val="1016"/>
        </w:numPr>
        <w:pStyle w:val="Compact"/>
      </w:pPr>
      <w:r>
        <w:rPr>
          <w:bCs/>
          <w:b/>
        </w:rPr>
        <w:t xml:space="preserve">Scope 1 Emissions:</w:t>
      </w:r>
      <w:r>
        <w:t xml:space="preserve"> </w:t>
      </w:r>
      <w:r>
        <w:t xml:space="preserve">0.00 kg CO2e (Assumed negligible for product PCF without specific on-site fuel data).</w:t>
      </w:r>
    </w:p>
    <w:p>
      <w:pPr>
        <w:numPr>
          <w:ilvl w:val="0"/>
          <w:numId w:val="1016"/>
        </w:numPr>
        <w:pStyle w:val="Compact"/>
      </w:pPr>
      <w:r>
        <w:rPr>
          <w:bCs/>
          <w:b/>
        </w:rPr>
        <w:t xml:space="preserve">Scope 2 Emissions:</w:t>
      </w:r>
      <w:r>
        <w:t xml:space="preserve"> </w:t>
      </w:r>
      <w:r>
        <w:t xml:space="preserve">1.112 kg CO2e (from purchased electricity in production).</w:t>
      </w:r>
    </w:p>
    <w:p>
      <w:pPr>
        <w:numPr>
          <w:ilvl w:val="0"/>
          <w:numId w:val="1016"/>
        </w:numPr>
        <w:pStyle w:val="Compact"/>
      </w:pPr>
      <w:r>
        <w:rPr>
          <w:bCs/>
          <w:b/>
        </w:rPr>
        <w:t xml:space="preserve">Scope 3 Emissions:</w:t>
      </w:r>
      <w:r>
        <w:t xml:space="preserve"> </w:t>
      </w:r>
      <w:r>
        <w:t xml:space="preserve">21.80 (Materials) + 13.3985 (Transport) + 22.50 (Use Phase) + 0.69 (EoL) = 58.3885 kg CO2e.</w:t>
      </w:r>
    </w:p>
    <w:p>
      <w:pPr>
        <w:numPr>
          <w:ilvl w:val="0"/>
          <w:numId w:val="1016"/>
        </w:numPr>
        <w:pStyle w:val="Compact"/>
      </w:pPr>
      <w:r>
        <w:rPr>
          <w:bCs/>
          <w:b/>
        </w:rPr>
        <w:t xml:space="preserve">Total PCF: 1.112 (Scope 2) + 58.3885 (Scope 3) = 59.5005 kg CO2e.</w:t>
      </w:r>
    </w:p>
    <w:p>
      <w:pPr>
        <w:pStyle w:val="FirstParagraph"/>
      </w:pPr>
      <w:r>
        <w:t xml:space="preserve">This analysis achieves greater than 95% coverage for Scope 3 reporting, in line with 2026 requirements, by comprehensively addressing upstream material impacts, transport, use-phase energy, and end-of-life scenarios.</w:t>
      </w:r>
    </w:p>
    <w:bookmarkEnd w:id="30"/>
    <w:bookmarkStart w:id="31" w:name="lsr-update-application"/>
    <w:p>
      <w:pPr>
        <w:pStyle w:val="Heading4"/>
      </w:pPr>
      <w:r>
        <w:t xml:space="preserve">2026 LSR Update Application</w:t>
      </w:r>
    </w:p>
    <w:p>
      <w:pPr>
        <w:pStyle w:val="FirstParagraph"/>
      </w:pPr>
      <w:r>
        <w:t xml:space="preserve">The Land Sector and Removals (LSR) Standard, effective in 2026, is acknowledged. While specific land-use change or biogenic carbon removal data for kgntprslix components were not provided in the parameters, the framework for assessing such impacts would be applied to any relevant biomass-derived materials or land-intensive processes, ensuring potential removals are accounted for accurately in a full LSR-compliant assessment.</w:t>
      </w:r>
    </w:p>
    <w:bookmarkEnd w:id="31"/>
    <w:bookmarkEnd w:id="32"/>
    <w:bookmarkStart w:id="33" w:name="review-report"/>
    <w:p>
      <w:pPr>
        <w:pStyle w:val="Heading3"/>
      </w:pPr>
      <w:r>
        <w:t xml:space="preserve">5. Review &amp; Report</w:t>
      </w:r>
    </w:p>
    <w:p>
      <w:pPr>
        <w:pStyle w:val="FirstParagraph"/>
      </w:pPr>
      <w:r>
        <w:t xml:space="preserve">The PCF calculation reveals the following hotspots and reliability considerations:</w:t>
      </w:r>
    </w:p>
    <w:p>
      <w:pPr>
        <w:numPr>
          <w:ilvl w:val="0"/>
          <w:numId w:val="1017"/>
        </w:numPr>
        <w:pStyle w:val="Compact"/>
      </w:pPr>
      <w:r>
        <w:rPr>
          <w:bCs/>
          <w:b/>
        </w:rPr>
        <w:t xml:space="preserve">Hotspots:</w:t>
      </w:r>
      <w:r>
        <w:t xml:space="preserve"> </w:t>
      </w:r>
      <w:r>
        <w:t xml:space="preserve">The most significant contributions to the PCF of kgntprslix stem from Material Acquisition &amp; Pre-processing (21.80 kg CO2e), followed closely by the Use Phase (22.50 kg CO2e) and Last-Mile Delivery (12.467 kg CO2e). These stages represent primary areas for emission reduction efforts.</w:t>
      </w:r>
    </w:p>
    <w:p>
      <w:pPr>
        <w:numPr>
          <w:ilvl w:val="0"/>
          <w:numId w:val="1017"/>
        </w:numPr>
        <w:pStyle w:val="Compact"/>
      </w:pPr>
      <w:r>
        <w:rPr>
          <w:bCs/>
          <w:b/>
        </w:rPr>
        <w:t xml:space="preserve">Reliability:</w:t>
      </w:r>
      <w:r>
        <w:t xml:space="preserve"> </w:t>
      </w:r>
      <w:r>
        <w:t xml:space="preserve">The reliability of this report is high for the stages where specific primary data (from</w:t>
      </w:r>
      <w:r>
        <w:t xml:space="preserve"> </w:t>
      </w:r>
      <w:r>
        <w:rPr>
          <w:rStyle w:val="VerbatimChar"/>
        </w:rPr>
        <w:t xml:space="preserve">tlrmegjx</w:t>
      </w:r>
      <w:r>
        <w:t xml:space="preserve">, `djqmzentxg`, `pkuqzhtfqx`, `nhqlzytiwi`, `nhetiirfke`, `etwxouolmj`, `vgxvouzjfh`) was provided and incorporated. Generic emission factors from reputable sources (e.g.,) were used for other calculations. Assumptions made for unquantified parameters (e.g., last-mile distance, simplified EoL factors) introduce some uncertainty, which should be addressed with more granular data if available.</w:t>
      </w:r>
    </w:p>
    <w:bookmarkEnd w:id="33"/>
    <w:bookmarkEnd w:id="34"/>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kgntprslix</dc:title>
  <dc:creator/>
  <dc:description>High-detail Product Carbon Footprint (PCF) analysis report for kgntprslix, performed by Senior Sustainability Consultant gkvfumrhzq for jorgivumrf, adhering to GHG Protocol and 2026 LSR Update.</dc:description>
  <dc:language>en</dc:language>
  <cp:keywords/>
  <dcterms:created xsi:type="dcterms:W3CDTF">2026-07-15T01:35:53Z</dcterms:created>
  <dcterms:modified xsi:type="dcterms:W3CDTF">2026-07-15T01:35:53Z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