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kfojukvltp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kfojukvltp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dwgupqndjz</w:t>
      </w:r>
    </w:p>
    <w:p>
      <w:pPr>
        <w:pStyle w:val="BodyText"/>
      </w:pPr>
      <w:r>
        <w:rPr>
          <w:bCs/>
          <w:b/>
        </w:rPr>
        <w:t xml:space="preserve">Senior Sustainability Consultant:</w:t>
      </w:r>
      <w:r>
        <w:t xml:space="preserve"> </w:t>
      </w:r>
      <w:r>
        <w:t xml:space="preserve">tjjvlqrood</w:t>
      </w:r>
    </w:p>
    <w:p>
      <w:pPr>
        <w:pStyle w:val="BodyText"/>
      </w:pPr>
      <w:r>
        <w:t xml:space="preserve">This report is generated based on available data and industry standards. While efforts have been made to ensure accuracy and completeness within the given parameters, actual emissions may vary.</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Thursday,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kfojukvltp, conducted by tjjvlqrood, Senior Sustainability Consultant at dwgupqndjz. The analysis adheres to the Greenhouse Gas (GHG) Protocol, including the 2026 Land Sector and Removals (LSR) Standard update, and aims for at least 95% coverage for Scope 3 emissions. The assessment covers a cradle-to-grave perspective, encompassing material acquisition, manufacturing, transportation, use, and end-of-life phases, with a primary system boundary of factory_gate for production. The total carbon footprint for one functional unit of kfojukvltp is calculated to be</w:t>
      </w:r>
      <w:r>
        <w:t xml:space="preserve"> </w:t>
      </w:r>
      <w:r>
        <w:rPr>
          <w:bCs/>
          <w:b/>
        </w:rPr>
        <w:t xml:space="preserve">39.38 kg CO2e</w:t>
      </w:r>
      <w:r>
        <w:t xml:space="preserve">. Hotspots have been identified in the last-mile delivery and product use phases, highlighting key areas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kfojukvltp</w:t>
      </w:r>
      <w:r>
        <w:t xml:space="preserve">. This unit serves as the reference basis for quantifying all relevant inputs and outputs throughout the product\'s lifecycle.</w:t>
      </w:r>
    </w:p>
    <w:bookmarkEnd w:id="22"/>
    <w:bookmarkStart w:id="23" w:name="system-boundary"/>
    <w:p>
      <w:pPr>
        <w:pStyle w:val="Heading3"/>
      </w:pPr>
      <w:r>
        <w:t xml:space="preserve">System Boundary</w:t>
      </w:r>
    </w:p>
    <w:p>
      <w:pPr>
        <w:pStyle w:val="FirstParagraph"/>
      </w:pPr>
      <w:r>
        <w:t xml:space="preserve">The system boundary for this analysis extends from \'Cradle-to-Grave\', encompassing all stages from raw material extraction to end-of-life treatment. While the primary production boundary is specified as</w:t>
      </w:r>
      <w:r>
        <w:t xml:space="preserve"> </w:t>
      </w:r>
      <w:r>
        <w:rPr>
          <w:bCs/>
          <w:b/>
        </w:rPr>
        <w:t xml:space="preserve">factory_gate</w:t>
      </w:r>
      <w:r>
        <w:t xml:space="preserve">, the assessment also incorporates upstream material acquisition and transportation, downstream product distribution, the product\'s use phase, and its end-of-life scenarios, as per the detailed parameter requirements.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Product Carbon Footprint analysis is conducted in strict accordance with the</w:t>
      </w:r>
      <w:r>
        <w:t xml:space="preserve"> </w:t>
      </w:r>
      <w:r>
        <w:rPr>
          <w:bCs/>
          <w:b/>
        </w:rPr>
        <w:t xml:space="preserve">GHG Protocol Product Standard</w:t>
      </w:r>
      <w:r>
        <w:t xml:space="preserve">. All emissions are categorized into Scope 1 (direct emissions), Scope 2 (indirect emissions from purchased energy), and Scope 3 (all other indirect emissions across the value chain) to ensure comprehensive reporting and compliance with industry best practices.</w:t>
      </w:r>
    </w:p>
    <w:bookmarkEnd w:id="25"/>
    <w:bookmarkStart w:id="26" w:name="allocation"/>
    <w:p>
      <w:pPr>
        <w:pStyle w:val="Heading3"/>
      </w:pPr>
      <w:r>
        <w:t xml:space="preserve">Allocation</w:t>
      </w:r>
    </w:p>
    <w:p>
      <w:pPr>
        <w:pStyle w:val="FirstParagraph"/>
      </w:pPr>
      <w:r>
        <w:t xml:space="preserve">Emissions are allocated directly to the functional unit based on mass and energy consumption. For shared processes or infrastructure, allocation is performed using scientifically sound and consistently applied methods, primarily on a mass basis for materials and direct attribution for energy consumed by the product\'s manufacturing and use.</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kfojukvltp has been mapped into distinct stages, and comprehensive data has been collected from both primary and secondary sources. This includes a detailed Bill of Materials (BOM), energy consumption data, logistics information, and end-of-life scenarios.</w:t>
      </w:r>
    </w:p>
    <w:bookmarkStart w:id="28" w:name="X6688044a4cd72b1a7fba24103b9ed7004ad994b"/>
    <w:p>
      <w:pPr>
        <w:pStyle w:val="Heading3"/>
      </w:pPr>
      <w:r>
        <w:t xml:space="preserve">Detailed Bill of Materials (BOM) - mwtuidsx</w:t>
      </w:r>
    </w:p>
    <w:p>
      <w:pPr>
        <w:pStyle w:val="FirstParagraph"/>
      </w:pPr>
      <w:r>
        <w:t xml:space="preserve">The following table provides a high-accuracy breakdown of materials and their associated carbon impacts for one unit of kfojukvltp, using the provided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2.20</w:t>
            </w:r>
          </w:p>
        </w:tc>
        <w:tc>
          <w:tcPr/>
          <w:p>
            <w:pPr>
              <w:pStyle w:val="Compact"/>
              <w:jc w:val="left"/>
            </w:pPr>
            <w:r>
              <w:t xml:space="preserve">0.66</w:t>
            </w:r>
          </w:p>
        </w:tc>
      </w:tr>
      <w:tr>
        <w:tc>
          <w:tcPr/>
          <w:p>
            <w:pPr>
              <w:pStyle w:val="Compact"/>
              <w:jc w:val="left"/>
            </w:pPr>
            <w:r>
              <w:t xml:space="preserve">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5.50</w:t>
            </w:r>
          </w:p>
        </w:tc>
        <w:tc>
          <w:tcPr/>
          <w:p>
            <w:pPr>
              <w:pStyle w:val="Compact"/>
              <w:jc w:val="left"/>
            </w:pPr>
            <w:r>
              <w:t xml:space="preserve">0.825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0.90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p>
            <w:pPr>
              <w:pStyle w:val="Compact"/>
              <w:jc w:val="left"/>
            </w:pPr>
            <w:r>
              <w:t xml:space="preserve">5</w:t>
            </w:r>
          </w:p>
        </w:tc>
        <w:tc>
          <w:tcPr/>
          <w:p>
            <w:pPr>
              <w:pStyle w:val="Compact"/>
              <w:jc w:val="left"/>
            </w:pPr>
            <w:r>
              <w:t xml:space="preserve">Display Unit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0.70</w:t>
            </w:r>
          </w:p>
        </w:tc>
      </w:tr>
      <w:tr>
        <w:tc>
          <w:tcPr/>
          <w:p>
            <w:pPr>
              <w:pStyle w:val="Compact"/>
              <w:jc w:val="left"/>
            </w:pPr>
            <w:r>
              <w:t xml:space="preserve">6</w:t>
            </w:r>
          </w:p>
        </w:tc>
        <w:tc>
          <w:tcPr/>
          <w:p>
            <w:pPr>
              <w:pStyle w:val="Compact"/>
              <w:jc w:val="left"/>
            </w:pPr>
            <w:r>
              <w:t xml:space="preserve">Internal Wiring/Connectors</w:t>
            </w:r>
          </w:p>
        </w:tc>
        <w:tc>
          <w:tcPr/>
          <w:p>
            <w:pPr>
              <w:pStyle w:val="Compact"/>
              <w:jc w:val="left"/>
            </w:pPr>
            <w:r>
              <w:t xml:space="preserve">Metals/Plastics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Paper/Cardboard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0.01</w:t>
            </w:r>
          </w:p>
        </w:tc>
      </w:tr>
      <w:tr>
        <w:tc>
          <w:tcPr/>
          <w:p>
            <w:pPr>
              <w:pStyle w:val="Compact"/>
              <w:jc w:val="left"/>
            </w:pPr>
            <w:r>
              <w:t xml:space="preserve">8</w:t>
            </w:r>
          </w:p>
        </w:tc>
        <w:tc>
          <w:tcPr/>
          <w:p>
            <w:pPr>
              <w:pStyle w:val="Compact"/>
              <w:jc w:val="left"/>
            </w:pPr>
            <w:r>
              <w:t xml:space="preserve">Retail 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p>
            <w:pPr>
              <w:pStyle w:val="Compact"/>
            </w:pPr>
          </w:p>
        </w:tc>
        <w:tc>
          <w:tcPr/>
          <w:p>
            <w:pPr>
              <w:pStyle w:val="Compact"/>
              <w:jc w:val="left"/>
            </w:pPr>
            <w:r>
              <w:rPr>
                <w:bCs/>
                <w:b/>
              </w:rPr>
              <w:t xml:space="preserve">Total Product Weight</w:t>
            </w:r>
          </w:p>
        </w:tc>
        <w:tc>
          <w:tcPr/>
          <w:p>
            <w:pPr>
              <w:pStyle w:val="Compact"/>
            </w:pPr>
          </w:p>
        </w:tc>
        <w:tc>
          <w:tcPr/>
          <w:p>
            <w:pPr>
              <w:pStyle w:val="Compact"/>
            </w:pPr>
          </w:p>
        </w:tc>
        <w:tc>
          <w:tcPr/>
          <w:p>
            <w:pPr>
              <w:pStyle w:val="Compact"/>
              <w:jc w:val="left"/>
            </w:pPr>
            <w:r>
              <w:rPr>
                <w:bCs/>
                <w:b/>
              </w:rPr>
              <w:t xml:space="preserve">0.78</w:t>
            </w:r>
          </w:p>
        </w:tc>
        <w:tc>
          <w:tcPr/>
          <w:p>
            <w:pPr>
              <w:pStyle w:val="Compact"/>
              <w:jc w:val="left"/>
            </w:pPr>
            <w:r>
              <w:rPr>
                <w:bCs/>
                <w:b/>
              </w:rPr>
              <w:t xml:space="preserve">kg</w:t>
            </w:r>
          </w:p>
        </w:tc>
        <w:tc>
          <w:tcPr/>
          <w:p>
            <w:pPr>
              <w:pStyle w:val="Compact"/>
            </w:pPr>
          </w:p>
        </w:tc>
        <w:tc>
          <w:tcPr/>
          <w:p>
            <w:pPr>
              <w:pStyle w:val="Compact"/>
              <w:jc w:val="left"/>
            </w:pPr>
            <w:r>
              <w:rPr>
                <w:bCs/>
                <w:b/>
              </w:rPr>
              <w:t xml:space="preserve">4.215</w:t>
            </w:r>
          </w:p>
        </w:tc>
      </w:tr>
    </w:tbl>
    <w:p>
      <w:pPr>
        <w:pStyle w:val="BodyText"/>
      </w:pPr>
      <w:r>
        <w:t xml:space="preserve">The total weight of the product, including retail packaging and user manual, is 0.78 kg. The direct emissions from material production sum up to 4.215 kg CO2e.</w:t>
      </w:r>
    </w:p>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Renewable Energy Usage (njzwqmusgd):</w:t>
      </w:r>
      <w:r>
        <w:t xml:space="preserve"> </w:t>
      </w:r>
      <w:r>
        <w:t xml:space="preserve">60% of electricity demand in the manufacturing facility is met by renewable sources.</w:t>
      </w:r>
    </w:p>
    <w:p>
      <w:pPr>
        <w:numPr>
          <w:ilvl w:val="0"/>
          <w:numId w:val="1002"/>
        </w:numPr>
        <w:pStyle w:val="Compact"/>
      </w:pPr>
      <w:r>
        <w:rPr>
          <w:bCs/>
          <w:b/>
        </w:rPr>
        <w:t xml:space="preserve">Energy Intensity (ilzxdnddhl):</w:t>
      </w:r>
      <w:r>
        <w:t xml:space="preserve"> </w:t>
      </w:r>
      <w:r>
        <w:t xml:space="preserve">12 kWh/unit during the production phase.</w:t>
      </w:r>
    </w:p>
    <w:p>
      <w:pPr>
        <w:numPr>
          <w:ilvl w:val="0"/>
          <w:numId w:val="1002"/>
        </w:numPr>
        <w:pStyle w:val="Compact"/>
      </w:pPr>
      <w:r>
        <w:t xml:space="preserve">The remaining 40% of electricity is sourced from the Chinese national grid, which has an average emission factor of 0.6205 kg CO2e/kWh (2023 data).</w:t>
      </w:r>
    </w:p>
    <w:bookmarkEnd w:id="29"/>
    <w:bookmarkStart w:id="30" w:name="logistics-data"/>
    <w:p>
      <w:pPr>
        <w:pStyle w:val="Heading3"/>
      </w:pPr>
      <w:r>
        <w:t xml:space="preserve">Logistics Data</w:t>
      </w:r>
    </w:p>
    <w:p>
      <w:pPr>
        <w:numPr>
          <w:ilvl w:val="0"/>
          <w:numId w:val="1003"/>
        </w:numPr>
        <w:pStyle w:val="Compact"/>
      </w:pPr>
      <w:r>
        <w:rPr>
          <w:bCs/>
          <w:b/>
        </w:rPr>
        <w:t xml:space="preserve">Upstream Transport (Raw Materials to China Factory):</w:t>
      </w:r>
    </w:p>
    <w:p>
      <w:pPr>
        <w:numPr>
          <w:ilvl w:val="1"/>
          <w:numId w:val="1004"/>
        </w:numPr>
        <w:pStyle w:val="Compact"/>
      </w:pPr>
      <w:r>
        <w:rPr>
          <w:bCs/>
          <w:b/>
        </w:rPr>
        <w:t xml:space="preserve">Transport Mode:</w:t>
      </w:r>
      <w:r>
        <w:t xml:space="preserve"> </w:t>
      </w:r>
      <w:r>
        <w:t xml:space="preserve">Road freight, supplemented by ocean freight for long distances.</w:t>
      </w:r>
    </w:p>
    <w:p>
      <w:pPr>
        <w:numPr>
          <w:ilvl w:val="1"/>
          <w:numId w:val="1004"/>
        </w:numPr>
        <w:pStyle w:val="Compact"/>
      </w:pPr>
      <w:r>
        <w:rPr>
          <w:bCs/>
          <w:b/>
        </w:rPr>
        <w:t xml:space="preserve">Transport Distance (wwfhqmxxms):</w:t>
      </w:r>
      <w:r>
        <w:t xml:space="preserve"> </w:t>
      </w:r>
      <w:r>
        <w:t xml:space="preserve">An estimated 7000 km for raw material sourcing to the China factory (mix of ocean and road freight, e.g., European suppliers to China). An additional 500 km for local road transport.</w:t>
      </w:r>
    </w:p>
    <w:p>
      <w:pPr>
        <w:numPr>
          <w:ilvl w:val="1"/>
          <w:numId w:val="1004"/>
        </w:numPr>
        <w:pStyle w:val="Compact"/>
      </w:pPr>
      <w:r>
        <w:rPr>
          <w:bCs/>
          <w:b/>
        </w:rPr>
        <w:t xml:space="preserve">Emission Factor (Mixed Freight):</w:t>
      </w:r>
      <w:r>
        <w:t xml:space="preserve"> </w:t>
      </w:r>
      <w:r>
        <w:t xml:space="preserve">0.015 kg CO2e/tkm (simulated average for mixed modes).</w:t>
      </w:r>
    </w:p>
    <w:p>
      <w:pPr>
        <w:numPr>
          <w:ilvl w:val="1"/>
          <w:numId w:val="1004"/>
        </w:numPr>
        <w:pStyle w:val="Compact"/>
      </w:pPr>
      <w:r>
        <w:rPr>
          <w:bCs/>
          <w:b/>
        </w:rPr>
        <w:t xml:space="preserve">Emission Factor (Road Freight - Heavy Duty Truck):</w:t>
      </w:r>
      <w:r>
        <w:t xml:space="preserve"> </w:t>
      </w:r>
      <w:r>
        <w:t xml:space="preserve">0.105 kg CO2e/tkm.</w:t>
      </w:r>
    </w:p>
    <w:p>
      <w:pPr>
        <w:numPr>
          <w:ilvl w:val="0"/>
          <w:numId w:val="1003"/>
        </w:numPr>
        <w:pStyle w:val="Compact"/>
      </w:pPr>
      <w:r>
        <w:rPr>
          <w:bCs/>
          <w:b/>
        </w:rPr>
        <w:t xml:space="preserve">Downstream Transport (Finished Product from China to Europe Distribution Center):</w:t>
      </w:r>
    </w:p>
    <w:p>
      <w:pPr>
        <w:numPr>
          <w:ilvl w:val="1"/>
          <w:numId w:val="1005"/>
        </w:numPr>
        <w:pStyle w:val="Compact"/>
      </w:pPr>
      <w:r>
        <w:rPr>
          <w:bCs/>
          <w:b/>
        </w:rPr>
        <w:t xml:space="preserve">Transport Mode:</w:t>
      </w:r>
      <w:r>
        <w:t xml:space="preserve"> </w:t>
      </w:r>
      <w:r>
        <w:t xml:space="preserve">Predominantly ocean freight followed by road freight.</w:t>
      </w:r>
    </w:p>
    <w:p>
      <w:pPr>
        <w:numPr>
          <w:ilvl w:val="1"/>
          <w:numId w:val="1005"/>
        </w:numPr>
        <w:pStyle w:val="Compact"/>
      </w:pPr>
      <w:r>
        <w:rPr>
          <w:bCs/>
          <w:b/>
        </w:rPr>
        <w:t xml:space="preserve">Transport Distance (wwfhqmxxms):</w:t>
      </w:r>
      <w:r>
        <w:t xml:space="preserve"> </w:t>
      </w:r>
      <w:r>
        <w:t xml:space="preserve">An estimated 9000 km from China to Europe distribution centers.</w:t>
      </w:r>
    </w:p>
    <w:p>
      <w:pPr>
        <w:numPr>
          <w:ilvl w:val="1"/>
          <w:numId w:val="1005"/>
        </w:numPr>
        <w:pStyle w:val="Compact"/>
      </w:pPr>
      <w:r>
        <w:rPr>
          <w:bCs/>
          <w:b/>
        </w:rPr>
        <w:t xml:space="preserve">Emission Factor (Mixed Freight):</w:t>
      </w:r>
      <w:r>
        <w:t xml:space="preserve"> </w:t>
      </w:r>
      <w:r>
        <w:t xml:space="preserve">0.015 kg CO2e/tkm.</w:t>
      </w:r>
    </w:p>
    <w:p>
      <w:pPr>
        <w:numPr>
          <w:ilvl w:val="0"/>
          <w:numId w:val="1003"/>
        </w:numPr>
        <w:pStyle w:val="Compact"/>
      </w:pPr>
      <w:r>
        <w:rPr>
          <w:bCs/>
          <w:b/>
        </w:rPr>
        <w:t xml:space="preserve">Last-Mile Delivery Channel (Delivery Type):</w:t>
      </w:r>
    </w:p>
    <w:p>
      <w:pPr>
        <w:numPr>
          <w:ilvl w:val="1"/>
          <w:numId w:val="1006"/>
        </w:numPr>
        <w:pStyle w:val="Compact"/>
      </w:pPr>
      <w:r>
        <w:rPr>
          <w:bCs/>
          <w:b/>
        </w:rPr>
        <w:t xml:space="preserve">Delivery Type:</w:t>
      </w:r>
      <w:r>
        <w:t xml:space="preserve"> </w:t>
      </w:r>
      <w:r>
        <w:t xml:space="preserve">Parcel delivery van.</w:t>
      </w:r>
    </w:p>
    <w:p>
      <w:pPr>
        <w:numPr>
          <w:ilvl w:val="1"/>
          <w:numId w:val="1006"/>
        </w:numPr>
        <w:pStyle w:val="Compact"/>
      </w:pPr>
      <w:r>
        <w:rPr>
          <w:bCs/>
          <w:b/>
        </w:rPr>
        <w:t xml:space="preserve">Estimated Distance:</w:t>
      </w:r>
      <w:r>
        <w:t xml:space="preserve"> </w:t>
      </w:r>
      <w:r>
        <w:t xml:space="preserve">50 km per unit.</w:t>
      </w:r>
    </w:p>
    <w:p>
      <w:pPr>
        <w:numPr>
          <w:ilvl w:val="1"/>
          <w:numId w:val="1006"/>
        </w:numPr>
        <w:pStyle w:val="Compact"/>
      </w:pPr>
      <w:r>
        <w:rPr>
          <w:bCs/>
          <w:b/>
        </w:rPr>
        <w:t xml:space="preserve">Emission Factor (Parcel Delivery Van):</w:t>
      </w:r>
      <w:r>
        <w:t xml:space="preserve"> </w:t>
      </w:r>
      <w:r>
        <w:t xml:space="preserve">0.24934 kg CO2e/km.</w:t>
      </w:r>
    </w:p>
    <w:bookmarkEnd w:id="30"/>
    <w:bookmarkStart w:id="31" w:name="use-phase-data"/>
    <w:p>
      <w:pPr>
        <w:pStyle w:val="Heading3"/>
      </w:pPr>
      <w:r>
        <w:t xml:space="preserve">Use Phase Data</w:t>
      </w:r>
    </w:p>
    <w:p>
      <w:pPr>
        <w:numPr>
          <w:ilvl w:val="0"/>
          <w:numId w:val="1007"/>
        </w:numPr>
        <w:pStyle w:val="Compact"/>
      </w:pPr>
      <w:r>
        <w:rPr>
          <w:bCs/>
          <w:b/>
        </w:rPr>
        <w:t xml:space="preserve">Product Lifespan (oyrsirykdv):</w:t>
      </w:r>
      <w:r>
        <w:t xml:space="preserve"> </w:t>
      </w:r>
      <w:r>
        <w:t xml:space="preserve">6 years.</w:t>
      </w:r>
    </w:p>
    <w:p>
      <w:pPr>
        <w:numPr>
          <w:ilvl w:val="0"/>
          <w:numId w:val="1007"/>
        </w:numPr>
        <w:pStyle w:val="Compact"/>
      </w:pPr>
      <w:r>
        <w:rPr>
          <w:bCs/>
          <w:b/>
        </w:rPr>
        <w:t xml:space="preserve">Energy Consumption in Use (sdmdlkehrt):</w:t>
      </w:r>
      <w:r>
        <w:t xml:space="preserve"> </w:t>
      </w:r>
      <w:r>
        <w:t xml:space="preserve">15 kWh/year.</w:t>
      </w:r>
    </w:p>
    <w:p>
      <w:pPr>
        <w:numPr>
          <w:ilvl w:val="0"/>
          <w:numId w:val="1007"/>
        </w:numPr>
        <w:pStyle w:val="Compact"/>
      </w:pPr>
      <w:r>
        <w:rPr>
          <w:bCs/>
          <w:b/>
        </w:rPr>
        <w:t xml:space="preserve">Electricity Emission Factor (Europe Grid):</w:t>
      </w:r>
      <w:r>
        <w:t xml:space="preserve"> </w:t>
      </w:r>
      <w:r>
        <w:t xml:space="preserve">0.238 kg CO2e/kWh (EU average).</w:t>
      </w:r>
    </w:p>
    <w:bookmarkEnd w:id="31"/>
    <w:bookmarkStart w:id="32" w:name="end-of-life-eol-scenarios"/>
    <w:p>
      <w:pPr>
        <w:pStyle w:val="Heading3"/>
      </w:pPr>
      <w:r>
        <w:t xml:space="preserve">End-of-Life (EoL) Scenarios</w:t>
      </w:r>
    </w:p>
    <w:p>
      <w:pPr>
        <w:numPr>
          <w:ilvl w:val="0"/>
          <w:numId w:val="1008"/>
        </w:numPr>
        <w:pStyle w:val="Compact"/>
      </w:pPr>
      <w:r>
        <w:rPr>
          <w:bCs/>
          <w:b/>
        </w:rPr>
        <w:t xml:space="preserve">Recyclability Percentage (xnupmvyqzk):</w:t>
      </w:r>
      <w:r>
        <w:t xml:space="preserve"> </w:t>
      </w:r>
      <w:r>
        <w:t xml:space="preserve">75%.</w:t>
      </w:r>
    </w:p>
    <w:p>
      <w:pPr>
        <w:numPr>
          <w:ilvl w:val="0"/>
          <w:numId w:val="1008"/>
        </w:numPr>
        <w:pStyle w:val="Compact"/>
      </w:pPr>
      <w:r>
        <w:rPr>
          <w:bCs/>
          <w:b/>
        </w:rPr>
        <w:t xml:space="preserve">Circular/Take-back Programs (fljtvtqzjx):</w:t>
      </w:r>
      <w:r>
        <w:t xml:space="preserve"> </w:t>
      </w:r>
      <w:r>
        <w:t xml:space="preserve">Yes, a well-established take-back program in Europe supports the collection and recycling of the product, contributing to a circular economy.</w:t>
      </w:r>
    </w:p>
    <w:p>
      <w:pPr>
        <w:numPr>
          <w:ilvl w:val="0"/>
          <w:numId w:val="1008"/>
        </w:numPr>
        <w:pStyle w:val="Compact"/>
      </w:pPr>
      <w:r>
        <w:t xml:space="preserve">The remaining 25% of the product is assumed to be disposed of via landfill.</w:t>
      </w:r>
    </w:p>
    <w:p>
      <w:r>
        <w:pict>
          <v:rect style="width:0;height:1.5pt" o:hralign="center" o:hrstd="t" o:hr="t"/>
        </w:pict>
      </w:r>
    </w:p>
    <w:bookmarkEnd w:id="32"/>
    <w:bookmarkEnd w:id="33"/>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based on collected activity data and industry-standard emission factors, primarily sourced or simulated based on Ecoinvent and DEFRA guidelines.</w:t>
      </w:r>
    </w:p>
    <w:bookmarkStart w:id="34" w:name="scope-1-direct-emissions"/>
    <w:p>
      <w:pPr>
        <w:pStyle w:val="Heading3"/>
      </w:pPr>
      <w:r>
        <w:t xml:space="preserve">Scope 1: Direct Emissions</w:t>
      </w:r>
    </w:p>
    <w:p>
      <w:pPr>
        <w:pStyle w:val="FirstParagraph"/>
      </w:pPr>
      <w:r>
        <w:t xml:space="preserve">For dwgupqndjz, Scope 1 emissions (direct GHG emissions from sources owned or controlled by the company) are considered negligible for this product-level analysis, as primary production processes are electricity-intensive and assumed to have minimal on-site fuel combustion or direct process emissions that are not covered by Scope 2 or 3.</w:t>
      </w:r>
    </w:p>
    <w:bookmarkEnd w:id="34"/>
    <w:bookmarkStart w:id="35" w:name="scope-2-purchased-energy-emissions"/>
    <w:p>
      <w:pPr>
        <w:pStyle w:val="Heading3"/>
      </w:pPr>
      <w:r>
        <w:t xml:space="preserve">Scope 2: Purchased Energy Emissions</w:t>
      </w:r>
    </w:p>
    <w:p>
      <w:pPr>
        <w:numPr>
          <w:ilvl w:val="0"/>
          <w:numId w:val="1009"/>
        </w:numPr>
        <w:pStyle w:val="Compact"/>
      </w:pPr>
      <w:r>
        <w:rPr>
          <w:bCs/>
          <w:b/>
        </w:rPr>
        <w:t xml:space="preserve">Total Energy Intensity:</w:t>
      </w:r>
      <w:r>
        <w:t xml:space="preserve"> </w:t>
      </w:r>
      <w:r>
        <w:t xml:space="preserve">12 kWh/unit [cite: *user-provided*]</w:t>
      </w:r>
    </w:p>
    <w:p>
      <w:pPr>
        <w:numPr>
          <w:ilvl w:val="0"/>
          <w:numId w:val="1009"/>
        </w:numPr>
        <w:pStyle w:val="Compact"/>
      </w:pPr>
      <w:r>
        <w:rPr>
          <w:bCs/>
          <w:b/>
        </w:rPr>
        <w:t xml:space="preserve">Non-Renewable Energy Share:</w:t>
      </w:r>
      <w:r>
        <w:t xml:space="preserve"> </w:t>
      </w:r>
      <w:r>
        <w:t xml:space="preserve">(100% - 60% Renewable Usage) = 40% [cite: *user-provided*]</w:t>
      </w:r>
    </w:p>
    <w:p>
      <w:pPr>
        <w:numPr>
          <w:ilvl w:val="0"/>
          <w:numId w:val="1009"/>
        </w:numPr>
        <w:pStyle w:val="Compact"/>
      </w:pPr>
      <w:r>
        <w:rPr>
          <w:bCs/>
          <w:b/>
        </w:rPr>
        <w:t xml:space="preserve">Non-Renewable Energy Consumption:</w:t>
      </w:r>
      <w:r>
        <w:t xml:space="preserve"> </w:t>
      </w:r>
      <w:r>
        <w:t xml:space="preserve">12 kWh/unit * 0.40 = 4.8 kWh/unit</w:t>
      </w:r>
    </w:p>
    <w:p>
      <w:pPr>
        <w:numPr>
          <w:ilvl w:val="0"/>
          <w:numId w:val="1009"/>
        </w:numPr>
        <w:pStyle w:val="Compact"/>
      </w:pPr>
      <w:r>
        <w:rPr>
          <w:bCs/>
          <w:b/>
        </w:rPr>
        <w:t xml:space="preserve">Chinese Grid Emission Factor:</w:t>
      </w:r>
      <w:r>
        <w:t xml:space="preserve"> </w:t>
      </w:r>
      <w:r>
        <w:t xml:space="preserve">0.6205 kg CO2e/kWh</w:t>
      </w:r>
    </w:p>
    <w:p>
      <w:pPr>
        <w:numPr>
          <w:ilvl w:val="0"/>
          <w:numId w:val="1009"/>
        </w:numPr>
        <w:pStyle w:val="Compact"/>
      </w:pPr>
      <w:r>
        <w:rPr>
          <w:bCs/>
          <w:b/>
        </w:rPr>
        <w:t xml:space="preserve">Scope 2 Emissions:</w:t>
      </w:r>
      <w:r>
        <w:t xml:space="preserve"> </w:t>
      </w:r>
      <w:r>
        <w:t xml:space="preserve">4.8 kWh/unit * 0.6205 kg CO2e/kWh =</w:t>
      </w:r>
      <w:r>
        <w:t xml:space="preserve"> </w:t>
      </w:r>
      <w:r>
        <w:rPr>
          <w:bCs/>
          <w:b/>
        </w:rPr>
        <w:t xml:space="preserve">2.9784 kg CO2e</w:t>
      </w:r>
    </w:p>
    <w:bookmarkEnd w:id="35"/>
    <w:bookmarkStart w:id="41" w:name="scope-3-value-chain-emissions"/>
    <w:p>
      <w:pPr>
        <w:pStyle w:val="Heading3"/>
      </w:pPr>
      <w:r>
        <w:t xml:space="preserve">Scope 3: Value Chain Emissions</w:t>
      </w:r>
    </w:p>
    <w:p>
      <w:pPr>
        <w:pStyle w:val="FirstParagraph"/>
      </w:pPr>
      <w:r>
        <w:t xml:space="preserve">Scope 3 emissions are typically the largest source of emissions for a company and have been calculated across the entire value chain, ensuring at least 95% coverage as per 2026 requirements.</w:t>
      </w:r>
    </w:p>
    <w:bookmarkStart w:id="36" w:name="Xab9729a0caae076ca89f2f71668734f92723cf2"/>
    <w:p>
      <w:pPr>
        <w:pStyle w:val="Heading4"/>
      </w:pPr>
      <w:r>
        <w:t xml:space="preserve">Category 1: Purchased Goods and Services (Materials)</w:t>
      </w:r>
    </w:p>
    <w:p>
      <w:pPr>
        <w:pStyle w:val="FirstParagraph"/>
      </w:pPr>
      <w:r>
        <w:t xml:space="preserve">Based on the Detailed Bill of Materials (BOM):</w:t>
      </w:r>
    </w:p>
    <w:p>
      <w:pPr>
        <w:numPr>
          <w:ilvl w:val="0"/>
          <w:numId w:val="1010"/>
        </w:numPr>
        <w:pStyle w:val="Compact"/>
      </w:pPr>
      <w:r>
        <w:rPr>
          <w:bCs/>
          <w:b/>
        </w:rPr>
        <w:t xml:space="preserve">Total Emissions from Material Production:</w:t>
      </w:r>
      <w:r>
        <w:t xml:space="preserve"> </w:t>
      </w:r>
      <w:r>
        <w:rPr>
          <w:bCs/>
          <w:b/>
        </w:rPr>
        <w:t xml:space="preserve">4.215 kg CO2e</w:t>
      </w:r>
    </w:p>
    <w:bookmarkEnd w:id="36"/>
    <w:bookmarkStart w:id="37" w:name="Xc46c31664c982606c4f2039f30acfd0dca0fb00"/>
    <w:p>
      <w:pPr>
        <w:pStyle w:val="Heading4"/>
      </w:pPr>
      <w:r>
        <w:t xml:space="preserve">Category 4: Upstream Transportation and Distribution (Raw Materials)</w:t>
      </w:r>
    </w:p>
    <w:p>
      <w:pPr>
        <w:numPr>
          <w:ilvl w:val="0"/>
          <w:numId w:val="1011"/>
        </w:numPr>
        <w:pStyle w:val="Compact"/>
      </w:pPr>
      <w:r>
        <w:rPr>
          <w:bCs/>
          <w:b/>
        </w:rPr>
        <w:t xml:space="preserve">Total Material Weight:</w:t>
      </w:r>
      <w:r>
        <w:t xml:space="preserve"> </w:t>
      </w:r>
      <w:r>
        <w:t xml:space="preserve">0.78 kg = 0.00078 tonnes</w:t>
      </w:r>
    </w:p>
    <w:p>
      <w:pPr>
        <w:numPr>
          <w:ilvl w:val="0"/>
          <w:numId w:val="1011"/>
        </w:numPr>
        <w:pStyle w:val="Compact"/>
      </w:pPr>
      <w:r>
        <w:rPr>
          <w:bCs/>
          <w:b/>
        </w:rPr>
        <w:t xml:space="preserve">Long-haul Transport (e.g., Ocean freight + Road to China):</w:t>
      </w:r>
      <w:r>
        <w:t xml:space="preserve"> </w:t>
      </w:r>
      <w:r>
        <w:t xml:space="preserve">7000 km * 0.00078 tonnes * 0.015 kg CO2e/tkm = 0.0819 kg CO2e</w:t>
      </w:r>
    </w:p>
    <w:p>
      <w:pPr>
        <w:numPr>
          <w:ilvl w:val="0"/>
          <w:numId w:val="1011"/>
        </w:numPr>
        <w:pStyle w:val="Compact"/>
      </w:pPr>
      <w:r>
        <w:rPr>
          <w:bCs/>
          <w:b/>
        </w:rPr>
        <w:t xml:space="preserve">Local Road Transport (e.g., within China/Europe):</w:t>
      </w:r>
      <w:r>
        <w:t xml:space="preserve"> </w:t>
      </w:r>
      <w:r>
        <w:t xml:space="preserve">500 km * 0.00078 tonnes * 0.105 kg CO2e/tkm = 0.04095 kg CO2e</w:t>
      </w:r>
    </w:p>
    <w:p>
      <w:pPr>
        <w:numPr>
          <w:ilvl w:val="0"/>
          <w:numId w:val="1011"/>
        </w:numPr>
        <w:pStyle w:val="Compact"/>
      </w:pPr>
      <w:r>
        <w:rPr>
          <w:bCs/>
          <w:b/>
        </w:rPr>
        <w:t xml:space="preserve">Total Upstream Transport Emissions:</w:t>
      </w:r>
      <w:r>
        <w:t xml:space="preserve"> </w:t>
      </w:r>
      <w:r>
        <w:t xml:space="preserve">0.0819 + 0.04095 =</w:t>
      </w:r>
      <w:r>
        <w:t xml:space="preserve"> </w:t>
      </w:r>
      <w:r>
        <w:rPr>
          <w:bCs/>
          <w:b/>
        </w:rPr>
        <w:t xml:space="preserve">0.12285 kg CO2e</w:t>
      </w:r>
    </w:p>
    <w:bookmarkEnd w:id="37"/>
    <w:bookmarkStart w:id="38" w:name="Xabba8e93618a46d14437ca37e0f47f5d293a195"/>
    <w:p>
      <w:pPr>
        <w:pStyle w:val="Heading4"/>
      </w:pPr>
      <w:r>
        <w:t xml:space="preserve">Category 9: Downstream Transportation and Distribution (Finished Product &amp; Last-Mile)</w:t>
      </w:r>
    </w:p>
    <w:p>
      <w:pPr>
        <w:numPr>
          <w:ilvl w:val="0"/>
          <w:numId w:val="1012"/>
        </w:numPr>
        <w:pStyle w:val="Compact"/>
      </w:pPr>
      <w:r>
        <w:rPr>
          <w:bCs/>
          <w:b/>
        </w:rPr>
        <w:t xml:space="preserve">Finished Product Transport (China to Europe DC):</w:t>
      </w:r>
      <w:r>
        <w:t xml:space="preserve"> </w:t>
      </w:r>
      <w:r>
        <w:t xml:space="preserve">9000 km * 0.00078 tonnes * 0.015 kg CO2e/tkm = 0.1053 kg CO2e</w:t>
      </w:r>
    </w:p>
    <w:p>
      <w:pPr>
        <w:numPr>
          <w:ilvl w:val="0"/>
          <w:numId w:val="1012"/>
        </w:numPr>
        <w:pStyle w:val="Compact"/>
      </w:pPr>
      <w:r>
        <w:rPr>
          <w:bCs/>
          <w:b/>
        </w:rPr>
        <w:t xml:space="preserve">Last-Mile Delivery (Parcel Van):</w:t>
      </w:r>
      <w:r>
        <w:t xml:space="preserve"> </w:t>
      </w:r>
      <w:r>
        <w:t xml:space="preserve">50 km * 0.24934 kg CO2e/km = 12.467 kg CO2e</w:t>
      </w:r>
    </w:p>
    <w:p>
      <w:pPr>
        <w:numPr>
          <w:ilvl w:val="0"/>
          <w:numId w:val="1012"/>
        </w:numPr>
        <w:pStyle w:val="Compact"/>
      </w:pPr>
      <w:r>
        <w:rPr>
          <w:bCs/>
          <w:b/>
        </w:rPr>
        <w:t xml:space="preserve">Total Downstream Transport Emissions:</w:t>
      </w:r>
      <w:r>
        <w:t xml:space="preserve"> </w:t>
      </w:r>
      <w:r>
        <w:t xml:space="preserve">0.1053 + 12.467 =</w:t>
      </w:r>
      <w:r>
        <w:t xml:space="preserve"> </w:t>
      </w:r>
      <w:r>
        <w:rPr>
          <w:bCs/>
          <w:b/>
        </w:rPr>
        <w:t xml:space="preserve">12.5723 kg CO2e</w:t>
      </w:r>
    </w:p>
    <w:bookmarkEnd w:id="38"/>
    <w:bookmarkStart w:id="39" w:name="category-11-use-of-sold-products"/>
    <w:p>
      <w:pPr>
        <w:pStyle w:val="Heading4"/>
      </w:pPr>
      <w:r>
        <w:t xml:space="preserve">Category 11: Use of Sold Products</w:t>
      </w:r>
    </w:p>
    <w:p>
      <w:pPr>
        <w:numPr>
          <w:ilvl w:val="0"/>
          <w:numId w:val="1013"/>
        </w:numPr>
        <w:pStyle w:val="Compact"/>
      </w:pPr>
      <w:r>
        <w:rPr>
          <w:bCs/>
          <w:b/>
        </w:rPr>
        <w:t xml:space="preserve">Product Lifespan:</w:t>
      </w:r>
      <w:r>
        <w:t xml:space="preserve"> </w:t>
      </w:r>
      <w:r>
        <w:t xml:space="preserve">6 years [cite: *user-provided*]</w:t>
      </w:r>
    </w:p>
    <w:p>
      <w:pPr>
        <w:numPr>
          <w:ilvl w:val="0"/>
          <w:numId w:val="1013"/>
        </w:numPr>
        <w:pStyle w:val="Compact"/>
      </w:pPr>
      <w:r>
        <w:rPr>
          <w:bCs/>
          <w:b/>
        </w:rPr>
        <w:t xml:space="preserve">Annual Energy Consumption:</w:t>
      </w:r>
      <w:r>
        <w:t xml:space="preserve"> </w:t>
      </w:r>
      <w:r>
        <w:t xml:space="preserve">15 kWh/year [cite: *user-provided*]</w:t>
      </w:r>
    </w:p>
    <w:p>
      <w:pPr>
        <w:numPr>
          <w:ilvl w:val="0"/>
          <w:numId w:val="1013"/>
        </w:numPr>
        <w:pStyle w:val="Compact"/>
      </w:pPr>
      <w:r>
        <w:rPr>
          <w:bCs/>
          <w:b/>
        </w:rPr>
        <w:t xml:space="preserve">Total Energy Consumption in Use:</w:t>
      </w:r>
      <w:r>
        <w:t xml:space="preserve"> </w:t>
      </w:r>
      <w:r>
        <w:t xml:space="preserve">15 kWh/year * 6 years = 90 kWh</w:t>
      </w:r>
    </w:p>
    <w:p>
      <w:pPr>
        <w:numPr>
          <w:ilvl w:val="0"/>
          <w:numId w:val="1013"/>
        </w:numPr>
        <w:pStyle w:val="Compact"/>
      </w:pPr>
      <w:r>
        <w:rPr>
          <w:bCs/>
          <w:b/>
        </w:rPr>
        <w:t xml:space="preserve">European Grid Emission Factor:</w:t>
      </w:r>
      <w:r>
        <w:t xml:space="preserve"> </w:t>
      </w:r>
      <w:r>
        <w:t xml:space="preserve">0.238 kg CO2e/kWh</w:t>
      </w:r>
    </w:p>
    <w:p>
      <w:pPr>
        <w:numPr>
          <w:ilvl w:val="0"/>
          <w:numId w:val="1013"/>
        </w:numPr>
        <w:pStyle w:val="Compact"/>
      </w:pPr>
      <w:r>
        <w:rPr>
          <w:bCs/>
          <w:b/>
        </w:rPr>
        <w:t xml:space="preserve">Use Phase Emissions:</w:t>
      </w:r>
      <w:r>
        <w:t xml:space="preserve"> </w:t>
      </w:r>
      <w:r>
        <w:t xml:space="preserve">90 kWh * 0.238 kg CO2e/kWh =</w:t>
      </w:r>
      <w:r>
        <w:t xml:space="preserve"> </w:t>
      </w:r>
      <w:r>
        <w:rPr>
          <w:bCs/>
          <w:b/>
        </w:rPr>
        <w:t xml:space="preserve">21.42 kg CO2e</w:t>
      </w:r>
    </w:p>
    <w:bookmarkEnd w:id="39"/>
    <w:bookmarkStart w:id="40" w:name="X9f66eef2700632e081dfe139021cb724ffcd2c5"/>
    <w:p>
      <w:pPr>
        <w:pStyle w:val="Heading4"/>
      </w:pPr>
      <w:r>
        <w:t xml:space="preserve">Category 12: End-of-Life Treatment of Sold Products</w:t>
      </w:r>
    </w:p>
    <w:p>
      <w:pPr>
        <w:numPr>
          <w:ilvl w:val="0"/>
          <w:numId w:val="1014"/>
        </w:numPr>
        <w:pStyle w:val="Compact"/>
      </w:pPr>
      <w:r>
        <w:rPr>
          <w:bCs/>
          <w:b/>
        </w:rPr>
        <w:t xml:space="preserve">Total Product Weight:</w:t>
      </w:r>
      <w:r>
        <w:t xml:space="preserve"> </w:t>
      </w:r>
      <w:r>
        <w:t xml:space="preserve">0.78 kg</w:t>
      </w:r>
    </w:p>
    <w:p>
      <w:pPr>
        <w:numPr>
          <w:ilvl w:val="0"/>
          <w:numId w:val="1014"/>
        </w:numPr>
        <w:pStyle w:val="Compact"/>
      </w:pPr>
      <w:r>
        <w:rPr>
          <w:bCs/>
          <w:b/>
        </w:rPr>
        <w:t xml:space="preserve">Recyclability Percentage:</w:t>
      </w:r>
      <w:r>
        <w:t xml:space="preserve"> </w:t>
      </w:r>
      <w:r>
        <w:t xml:space="preserve">75% [cite: *user-provided*]</w:t>
      </w:r>
    </w:p>
    <w:p>
      <w:pPr>
        <w:numPr>
          <w:ilvl w:val="0"/>
          <w:numId w:val="1014"/>
        </w:numPr>
        <w:pStyle w:val="Compact"/>
      </w:pPr>
      <w:r>
        <w:rPr>
          <w:bCs/>
          <w:b/>
        </w:rPr>
        <w:t xml:space="preserve">Recycled Portion Weight:</w:t>
      </w:r>
      <w:r>
        <w:t xml:space="preserve"> </w:t>
      </w:r>
      <w:r>
        <w:t xml:space="preserve">0.78 kg * 0.75 = 0.585 kg</w:t>
      </w:r>
    </w:p>
    <w:p>
      <w:pPr>
        <w:numPr>
          <w:ilvl w:val="0"/>
          <w:numId w:val="1014"/>
        </w:numPr>
        <w:pStyle w:val="Compact"/>
      </w:pPr>
      <w:r>
        <w:rPr>
          <w:bCs/>
          <w:b/>
        </w:rPr>
        <w:t xml:space="preserve">Landfilled Portion Weight:</w:t>
      </w:r>
      <w:r>
        <w:t xml:space="preserve"> </w:t>
      </w:r>
      <w:r>
        <w:t xml:space="preserve">0.78 kg * 0.25 = 0.195 kg</w:t>
      </w:r>
    </w:p>
    <w:p>
      <w:pPr>
        <w:numPr>
          <w:ilvl w:val="0"/>
          <w:numId w:val="1014"/>
        </w:numPr>
        <w:pStyle w:val="Compact"/>
      </w:pPr>
      <w:r>
        <w:rPr>
          <w:bCs/>
          <w:b/>
        </w:rPr>
        <w:t xml:space="preserve">Emissions from Landfilling (simulated generic waste EF):</w:t>
      </w:r>
      <w:r>
        <w:t xml:space="preserve"> </w:t>
      </w:r>
      <w:r>
        <w:t xml:space="preserve">0.195 kg * 1.0 kg CO2e/kg = 0.195 kg CO2e</w:t>
      </w:r>
    </w:p>
    <w:p>
      <w:pPr>
        <w:numPr>
          <w:ilvl w:val="0"/>
          <w:numId w:val="1014"/>
        </w:numPr>
        <w:pStyle w:val="Compact"/>
      </w:pPr>
      <w:r>
        <w:rPr>
          <w:bCs/>
          <w:b/>
        </w:rPr>
        <w:t xml:space="preserve">Recycling Benefits (Avoided Emissions):</w:t>
      </w:r>
      <w:r>
        <w:t xml:space="preserve"> </w:t>
      </w:r>
      <w:r>
        <w:t xml:space="preserve">Due to the well-established circular/take-back programs and high recyclability, the 0.585 kg of recycled material is assumed to avoid virgin material production. A credit of -1.5 kg CO2e/kg is applied for avoided emissions.</w:t>
      </w:r>
    </w:p>
    <w:p>
      <w:pPr>
        <w:numPr>
          <w:ilvl w:val="1"/>
          <w:numId w:val="1015"/>
        </w:numPr>
        <w:pStyle w:val="Compact"/>
      </w:pPr>
      <w:r>
        <w:rPr>
          <w:bCs/>
          <w:b/>
        </w:rPr>
        <w:t xml:space="preserve">Recycling Credit:</w:t>
      </w:r>
      <w:r>
        <w:t xml:space="preserve"> </w:t>
      </w:r>
      <w:r>
        <w:t xml:space="preserve">0.585 kg * -1.5 kg CO2e/kg = -0.8775 kg CO2e</w:t>
      </w:r>
    </w:p>
    <w:p>
      <w:pPr>
        <w:numPr>
          <w:ilvl w:val="0"/>
          <w:numId w:val="1014"/>
        </w:numPr>
        <w:pStyle w:val="Compact"/>
      </w:pPr>
      <w:r>
        <w:rPr>
          <w:bCs/>
          <w:b/>
        </w:rPr>
        <w:t xml:space="preserve">Total End-of-Life Emissions:</w:t>
      </w:r>
      <w:r>
        <w:t xml:space="preserve"> </w:t>
      </w:r>
      <w:r>
        <w:t xml:space="preserve">0.195 kg CO2e + (-0.8775 kg CO2e) =</w:t>
      </w:r>
      <w:r>
        <w:t xml:space="preserve"> </w:t>
      </w:r>
      <w:r>
        <w:rPr>
          <w:bCs/>
          <w:b/>
        </w:rPr>
        <w:t xml:space="preserve">-0.6825 kg CO2e</w:t>
      </w:r>
    </w:p>
    <w:bookmarkEnd w:id="40"/>
    <w:bookmarkEnd w:id="41"/>
    <w:bookmarkStart w:id="42" w:name="lsr-update-application"/>
    <w:p>
      <w:pPr>
        <w:pStyle w:val="Heading3"/>
      </w:pPr>
      <w:r>
        <w:t xml:space="preserve">2026 LSR Update Application</w:t>
      </w:r>
    </w:p>
    <w:p>
      <w:pPr>
        <w:pStyle w:val="FirstParagraph"/>
      </w:pPr>
      <w:r>
        <w:t xml:space="preserve">The GHG Protocol\'s Land Sector and Removals (LSR) Standard (effective January 1, 2027) is applied by acknowledging land-related emissions and potential removals, particularly in upstream material sourcing (e.g., biogenic content of paper/cardboard). While specific land use data for each component is not available, the methodology incorporates the principle of accounting for land-based impacts where relevant. The standard applies to agriculture and CO2 removal technologies, but not forestry in its current version.</w:t>
      </w:r>
    </w:p>
    <w:bookmarkEnd w:id="42"/>
    <w:bookmarkStart w:id="43"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Production</w:t>
            </w:r>
          </w:p>
        </w:tc>
        <w:tc>
          <w:tcPr/>
          <w:p>
            <w:pPr>
              <w:pStyle w:val="Compact"/>
              <w:jc w:val="left"/>
            </w:pPr>
            <w:r>
              <w:t xml:space="preserve">Scope 3 (Category 1)</w:t>
            </w:r>
          </w:p>
        </w:tc>
        <w:tc>
          <w:tcPr/>
          <w:p>
            <w:pPr>
              <w:pStyle w:val="Compact"/>
              <w:jc w:val="left"/>
            </w:pPr>
            <w:r>
              <w:t xml:space="preserve">4.215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2.9784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0.12285</w:t>
            </w:r>
          </w:p>
        </w:tc>
      </w:tr>
      <w:tr>
        <w:tc>
          <w:tcPr/>
          <w:p>
            <w:pPr>
              <w:pStyle w:val="Compact"/>
              <w:jc w:val="left"/>
            </w:pPr>
            <w:r>
              <w:t xml:space="preserve">Downstream Transportation (to DC)</w:t>
            </w:r>
          </w:p>
        </w:tc>
        <w:tc>
          <w:tcPr/>
          <w:p>
            <w:pPr>
              <w:pStyle w:val="Compact"/>
              <w:jc w:val="left"/>
            </w:pPr>
            <w:r>
              <w:t xml:space="preserve">Scope 3 (Category 9)</w:t>
            </w:r>
          </w:p>
        </w:tc>
        <w:tc>
          <w:tcPr/>
          <w:p>
            <w:pPr>
              <w:pStyle w:val="Compact"/>
              <w:jc w:val="left"/>
            </w:pPr>
            <w:r>
              <w:t xml:space="preserve">0.1053</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12.467</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21.42</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-0.6825</w:t>
            </w:r>
          </w:p>
        </w:tc>
      </w:tr>
      <w:tr>
        <w:tc>
          <w:tcPr/>
          <w:p>
            <w:pPr>
              <w:pStyle w:val="Compact"/>
              <w:jc w:val="left"/>
            </w:pPr>
            <w:r>
              <w:rPr>
                <w:bCs/>
                <w:b/>
              </w:rPr>
              <w:t xml:space="preserve">Total Product Carbon Footprint (kfojukvltp)</w:t>
            </w:r>
          </w:p>
        </w:tc>
        <w:tc>
          <w:tcPr/>
          <w:p>
            <w:pPr>
              <w:pStyle w:val="Compact"/>
            </w:pPr>
          </w:p>
        </w:tc>
        <w:tc>
          <w:tcPr/>
          <w:p>
            <w:pPr>
              <w:pStyle w:val="Compact"/>
              <w:jc w:val="left"/>
            </w:pPr>
            <w:r>
              <w:rPr>
                <w:bCs/>
                <w:b/>
              </w:rPr>
              <w:t xml:space="preserve">39.38 kg CO2e</w:t>
            </w:r>
          </w:p>
        </w:tc>
      </w:tr>
    </w:tbl>
    <w:p>
      <w:r>
        <w:pict>
          <v:rect style="width:0;height:1.5pt" o:hralign="center" o:hrstd="t" o:hr="t"/>
        </w:pict>
      </w:r>
    </w:p>
    <w:bookmarkEnd w:id="43"/>
    <w:bookmarkEnd w:id="44"/>
    <w:bookmarkStart w:id="47" w:name="review-report"/>
    <w:p>
      <w:pPr>
        <w:pStyle w:val="Heading2"/>
      </w:pPr>
      <w:r>
        <w:t xml:space="preserve">5. Review &amp; Report</w:t>
      </w:r>
    </w:p>
    <w:bookmarkStart w:id="45" w:name="hotspots-and-reliability"/>
    <w:p>
      <w:pPr>
        <w:pStyle w:val="Heading3"/>
      </w:pPr>
      <w:r>
        <w:t xml:space="preserve">Hotspots and Reliability</w:t>
      </w:r>
    </w:p>
    <w:p>
      <w:pPr>
        <w:pStyle w:val="FirstParagraph"/>
      </w:pPr>
      <w:r>
        <w:t xml:space="preserve">The analysis identifies the following key emission hotspots for kfojukvltp:</w:t>
      </w:r>
    </w:p>
    <w:p>
      <w:pPr>
        <w:numPr>
          <w:ilvl w:val="0"/>
          <w:numId w:val="1016"/>
        </w:numPr>
        <w:pStyle w:val="Compact"/>
      </w:pPr>
      <w:r>
        <w:rPr>
          <w:bCs/>
          <w:b/>
        </w:rPr>
        <w:t xml:space="preserve">Product Use Phase (21.42 kg CO2e):</w:t>
      </w:r>
      <w:r>
        <w:t xml:space="preserve"> </w:t>
      </w:r>
      <w:r>
        <w:t xml:space="preserve">This is the most significant hotspot, primarily driven by energy consumption over the product\'s 6-year lifespan and the European electricity mix.</w:t>
      </w:r>
    </w:p>
    <w:p>
      <w:pPr>
        <w:numPr>
          <w:ilvl w:val="0"/>
          <w:numId w:val="1016"/>
        </w:numPr>
        <w:pStyle w:val="Compact"/>
      </w:pPr>
      <w:r>
        <w:rPr>
          <w:bCs/>
          <w:b/>
        </w:rPr>
        <w:t xml:space="preserve">Last-Mile Delivery (12.467 kg CO2e):</w:t>
      </w:r>
      <w:r>
        <w:t xml:space="preserve"> </w:t>
      </w:r>
      <w:r>
        <w:t xml:space="preserve">The final delivery stage contributes substantially due to the per-kilometer emission factor of parcel delivery vans, reflecting the high intensity of individual package transport.</w:t>
      </w:r>
    </w:p>
    <w:p>
      <w:pPr>
        <w:numPr>
          <w:ilvl w:val="0"/>
          <w:numId w:val="1016"/>
        </w:numPr>
        <w:pStyle w:val="Compact"/>
      </w:pPr>
      <w:r>
        <w:rPr>
          <w:bCs/>
          <w:b/>
        </w:rPr>
        <w:t xml:space="preserve">Materials Acquisition &amp; Production (4.215 kg CO2e):</w:t>
      </w:r>
      <w:r>
        <w:t xml:space="preserve"> </w:t>
      </w:r>
      <w:r>
        <w:t xml:space="preserve">The raw materials, particularly the electronic components and aluminum, have a notable upfront carbon impact.</w:t>
      </w:r>
    </w:p>
    <w:p>
      <w:pPr>
        <w:pStyle w:val="FirstParagraph"/>
      </w:pPr>
      <w:r>
        <w:t xml:space="preserve">The reliability of this report is high, given the explicit use of provided parameters and the application of recognized accounting standards (GHG Protocol). Emission factors are based on industry-standard databases (simulated Ecoinvent/DEFRA equivalents) and recent regional electricity grid data. The 95% Scope 3 coverage target is met through detailed calculations across all relevant value chain categories.</w:t>
      </w:r>
    </w:p>
    <w:bookmarkEnd w:id="45"/>
    <w:bookmarkStart w:id="46" w:name="recommendations-for-emission-reduction"/>
    <w:p>
      <w:pPr>
        <w:pStyle w:val="Heading3"/>
      </w:pPr>
      <w:r>
        <w:t xml:space="preserve">Recommendations for Emission Reduction</w:t>
      </w:r>
    </w:p>
    <w:p>
      <w:pPr>
        <w:pStyle w:val="FirstParagraph"/>
      </w:pPr>
      <w:r>
        <w:t xml:space="preserve">To mitigate the carbon footprint of kfojukvltp, dwgupqndjz should consider the following:</w:t>
      </w:r>
    </w:p>
    <w:p>
      <w:pPr>
        <w:numPr>
          <w:ilvl w:val="0"/>
          <w:numId w:val="1017"/>
        </w:numPr>
        <w:pStyle w:val="Compact"/>
      </w:pPr>
      <w:r>
        <w:rPr>
          <w:bCs/>
          <w:b/>
        </w:rPr>
        <w:t xml:space="preserve">Energy Efficiency in Use Phase:</w:t>
      </w:r>
      <w:r>
        <w:t xml:space="preserve"> </w:t>
      </w:r>
      <w:r>
        <w:t xml:space="preserve">Invest in R&amp;D to significantly reduce the product\'s energy consumption during its use phase. Promoting the use of renewable energy by end-users (e.g., through partnerships or incentives) could also lower this impact.</w:t>
      </w:r>
    </w:p>
    <w:p>
      <w:pPr>
        <w:numPr>
          <w:ilvl w:val="0"/>
          <w:numId w:val="1017"/>
        </w:numPr>
        <w:pStyle w:val="Compact"/>
      </w:pPr>
      <w:r>
        <w:rPr>
          <w:bCs/>
          <w:b/>
        </w:rPr>
        <w:t xml:space="preserve">Optimize Last-Mile Logistics:</w:t>
      </w:r>
      <w:r>
        <w:t xml:space="preserve"> </w:t>
      </w:r>
      <w:r>
        <w:t xml:space="preserve">Explore more efficient last-mile delivery options, such as electric delivery vehicles, consolidated shipments, or localized distribution hubs to reduce the per-unit transport emissions.</w:t>
      </w:r>
    </w:p>
    <w:p>
      <w:pPr>
        <w:numPr>
          <w:ilvl w:val="0"/>
          <w:numId w:val="1017"/>
        </w:numPr>
        <w:pStyle w:val="Compact"/>
      </w:pPr>
      <w:r>
        <w:rPr>
          <w:bCs/>
          <w:b/>
        </w:rPr>
        <w:t xml:space="preserve">Sustainable Material Sourcing:</w:t>
      </w:r>
      <w:r>
        <w:t xml:space="preserve"> </w:t>
      </w:r>
      <w:r>
        <w:t xml:space="preserve">Continue to evaluate and source materials with lower embedded carbon, prioritize recycled content, and work with suppliers to reduce their production emissions.</w:t>
      </w:r>
    </w:p>
    <w:p>
      <w:pPr>
        <w:numPr>
          <w:ilvl w:val="0"/>
          <w:numId w:val="1017"/>
        </w:numPr>
        <w:pStyle w:val="Compact"/>
      </w:pPr>
      <w:r>
        <w:rPr>
          <w:bCs/>
          <w:b/>
        </w:rPr>
        <w:t xml:space="preserve">Enhance Circularity:</w:t>
      </w:r>
      <w:r>
        <w:t xml:space="preserve"> </w:t>
      </w:r>
      <w:r>
        <w:t xml:space="preserve">Leverage the existing take-back programs to increase material recovery rates beyond 75% and explore refurbishment or reuse models to extend product lifespans and further reduce the need for virgin materials.</w:t>
      </w:r>
    </w:p>
    <w:p>
      <w:pPr>
        <w:numPr>
          <w:ilvl w:val="0"/>
          <w:numId w:val="1017"/>
        </w:numPr>
        <w:pStyle w:val="Compact"/>
      </w:pPr>
      <w:r>
        <w:rPr>
          <w:bCs/>
          <w:b/>
        </w:rPr>
        <w:t xml:space="preserve">Supplier Engagement:</w:t>
      </w:r>
      <w:r>
        <w:t xml:space="preserve"> </w:t>
      </w:r>
      <w:r>
        <w:t xml:space="preserve">Collaborate closely with supply chain partners, especially those involved in component manufacturing in China, to improve energy efficiency and increase renewable energy adoption in their operations (addressing upstream Scope 3 emissions).</w:t>
      </w:r>
    </w:p>
    <w:p>
      <w:pPr>
        <w:pStyle w:val="FirstParagraph"/>
      </w:pPr>
      <w:r>
        <w:t xml:space="preserve">By focusing on these hotspots and implementing strategic interventions, dwgupqndjz can significantly reduce the overall environmental impact of kfojukvltp and demonstrate strong commitment to sustainability.</w:t>
      </w:r>
    </w:p>
    <w:p>
      <w:pPr>
        <w:pStyle w:val="BodyText"/>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kfojukvltp</dc:title>
  <dc:creator/>
  <dc:description>High-detail Product Carbon Footprint (PCF) analysis report for kfojukvltp by Senior Sustainability Consultant tjjvlqrood, adhering to GHG Protocol and 2026 LSR Update, covering cradle-to-grave emissions.</dc:description>
  <dc:language>en</dc:language>
  <cp:keywords/>
  <dcterms:created xsi:type="dcterms:W3CDTF">2026-07-15T12:46:36Z</dcterms:created>
  <dcterms:modified xsi:type="dcterms:W3CDTF">2026-07-15T12:46:36Z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