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kezzxfsvwv</w:t>
      </w:r>
      <w:r>
        <w:t xml:space="preserve"> </w:t>
      </w:r>
      <w:r>
        <w:t xml:space="preserve">-</w:t>
      </w:r>
      <w:r>
        <w:t xml:space="preserve"> </w:t>
      </w:r>
      <w:r>
        <w:t xml:space="preserve">igzjggidii</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kezzxfsvwv"/>
    <w:p>
      <w:pPr>
        <w:pStyle w:val="Heading1"/>
      </w:pPr>
      <w:r>
        <w:t xml:space="preserve">for kezzxfsvwv</w:t>
      </w:r>
    </w:p>
    <w:p>
      <w:pPr>
        <w:pStyle w:val="FirstParagraph"/>
      </w:pPr>
      <w:r>
        <w:rPr>
          <w:bCs/>
          <w:b/>
        </w:rPr>
        <w:t xml:space="preserve">Company Name:</w:t>
      </w:r>
      <w:r>
        <w:t xml:space="preserve"> </w:t>
      </w:r>
      <w:r>
        <w:t xml:space="preserve">igzjggidii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jiihnotfjv</w:t>
      </w:r>
    </w:p>
    <w:p>
      <w:pPr>
        <w:pStyle w:val="BodyText"/>
      </w:pPr>
      <w:r>
        <w:t xml:space="preserve">This report is generated based on available data and industry standards for product carbon footprint analysis. While every effort has been made to ensure accuracy, actual impacts may vary.</w:t>
      </w:r>
    </w:p>
    <w:bookmarkEnd w:id="21"/>
    <w:p>
      <w:pPr>
        <w:pStyle w:val="BodyText"/>
      </w:pPr>
      <w:r>
        <w:t xml:space="preserve">Generated Date: May 22, 2026</w:t>
      </w:r>
    </w:p>
    <w:bookmarkStart w:id="45" w:name="X980bd88a84b661814c06696ebac18bcae42bcd9"/>
    <w:p>
      <w:pPr>
        <w:pStyle w:val="Heading1"/>
      </w:pPr>
      <w:r>
        <w:t xml:space="preserve">Product Carbon Footprint Analysis for kezzxfsvwv</w:t>
      </w:r>
    </w:p>
    <w:p>
      <w:pPr>
        <w:pStyle w:val="FirstParagraph"/>
      </w:pPr>
      <w:r>
        <w:t xml:space="preserve">This report presents a high-detail Product Carbon Footprint (PCF) analysis for the product</w:t>
      </w:r>
      <w:r>
        <w:t xml:space="preserve"> </w:t>
      </w:r>
      <w:r>
        <w:rPr>
          <w:bCs/>
          <w:b/>
        </w:rPr>
        <w:t xml:space="preserve">kezzxfsvwv</w:t>
      </w:r>
      <w:r>
        <w:t xml:space="preserve">, manufactured by</w:t>
      </w:r>
      <w:r>
        <w:t xml:space="preserve"> </w:t>
      </w:r>
      <w:r>
        <w:rPr>
          <w:bCs/>
          <w:b/>
        </w:rPr>
        <w:t xml:space="preserve">igzjggidii</w:t>
      </w:r>
      <w:r>
        <w:t xml:space="preserve">. As</w:t>
      </w:r>
      <w:r>
        <w:t xml:space="preserve"> </w:t>
      </w:r>
      <w:r>
        <w:rPr>
          <w:bCs/>
          <w:b/>
        </w:rPr>
        <w:t xml:space="preserve">jiihnotfjv</w:t>
      </w:r>
      <w:r>
        <w:t xml:space="preserve">, a Senior Sustainability Consultant specializing in the GHG Protocol, this assessment aims to quantify the greenhouse gas (GHG) emissions across the product\'s lifecycle, identifying key emission hotspots and informing strategies for reduction. The analysis strictly adheres to the</w:t>
      </w:r>
      <w:r>
        <w:t xml:space="preserve"> </w:t>
      </w:r>
      <w:r>
        <w:rPr>
          <w:bCs/>
          <w:b/>
        </w:rPr>
        <w:t xml:space="preserve">GHG Protocol</w:t>
      </w:r>
      <w:r>
        <w:t xml:space="preserve"> </w:t>
      </w:r>
      <w:r>
        <w:t xml:space="preserve">accounting standard.</w:t>
      </w:r>
    </w:p>
    <w:p>
      <w:r>
        <w:pict>
          <v:rect style="width:0;height:1.5pt" o:hralign="center" o:hrstd="t" o:hr="t"/>
        </w:pict>
      </w:r>
    </w:p>
    <w:bookmarkStart w:id="22" w:name="executive-summary"/>
    <w:p>
      <w:pPr>
        <w:pStyle w:val="Heading2"/>
      </w:pPr>
      <w:r>
        <w:t xml:space="preserve">Executive Summary</w:t>
      </w:r>
    </w:p>
    <w:p>
      <w:pPr>
        <w:pStyle w:val="FirstParagraph"/>
      </w:pPr>
      <w:r>
        <w:t xml:space="preserve">The Product Carbon Footprint for kezzxfsvwv has been calculated at approximately</w:t>
      </w:r>
      <w:r>
        <w:t xml:space="preserve"> </w:t>
      </w:r>
      <w:r>
        <w:rPr>
          <w:bCs/>
          <w:b/>
        </w:rPr>
        <w:t xml:space="preserve">22.03 kg CO2e per functional unit</w:t>
      </w:r>
      <w:r>
        <w:t xml:space="preserve">. The most significant emission contributions arise from the use phase, followed by the manufacturing process and material acquisition. Transport and end-of-life stages contribute comparatively less, with end-of-life showing a net carbon benefit due to high recyclability and circular economy initiatives. This report provides a detailed breakdown of emissions across the product lifecycle, offering insights for targeted sustainability improvements for igzjggidii.</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This Product Carbon Footprint (PCF) analysis is conducted in accordance with the GHG Protocol\'s Product Life Cycle Accounting and Reporting Standard. The methodology follows a five-step approach: Define Scope, Map Lifecycle, Collect Data, Calculate Emissions, and Review &amp; Report. Emissions are categorized into Scope 1 (direct emissions), Scope 2 (purchased energy), and Scope 3 (value chain) to ensure comprehensive reporting. Furthermore, the analysis considers the upcoming 2026 Land Sector and Removals (LSR) Standard update, which becomes effective January 1, 2027, by acknowledging its relevance for future reporting of land-related emissions and removals. The accompanying guidance for the LSR Standard is expected in Q2 2026. Compliance with Scope 3 reporting requirements, targeting at least 95% coverage, is ensured.</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kezzxfsvwv</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Cradle-to-gate, with extended analysis for the use phase and end-of-life. The primary system boundary for reporting is \'factory_gate\', but the comprehensive analysis covers the full lifecycle.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w:t>
      </w:r>
    </w:p>
    <w:p>
      <w:r>
        <w:pict>
          <v:rect style="width:0;height:1.5pt" o:hralign="center" o:hrstd="t" o:hr="t"/>
        </w:pict>
      </w:r>
    </w:p>
    <w:bookmarkEnd w:id="26"/>
    <w:bookmarkEnd w:id="27"/>
    <w:bookmarkStart w:id="33" w:name="lifecycle-mapping-data-collection"/>
    <w:p>
      <w:pPr>
        <w:pStyle w:val="Heading2"/>
      </w:pPr>
      <w:r>
        <w:t xml:space="preserve">2. &amp; 3. Lifecycle Mapping &amp; Data Collection</w:t>
      </w:r>
    </w:p>
    <w:p>
      <w:pPr>
        <w:pStyle w:val="FirstParagraph"/>
      </w:pPr>
      <w:r>
        <w:t xml:space="preserve">This section details the lifecycle stages of kezzxfsvwv and the primary and secondary data points collected for the analysis.</w:t>
      </w:r>
    </w:p>
    <w:bookmarkStart w:id="28" w:name="Xa19eb743583b04abecf0132f8389bb1a5a02434"/>
    <w:p>
      <w:pPr>
        <w:pStyle w:val="Heading3"/>
      </w:pPr>
      <w:r>
        <w:t xml:space="preserve">3.1. Detailed Bill of Materials (BOM) for kezzxfsvwv</w:t>
      </w:r>
    </w:p>
    <w:p>
      <w:pPr>
        <w:pStyle w:val="FirstParagraph"/>
      </w:pPr>
      <w:r>
        <w:t xml:space="preserve">The material impact calculation utilizes the provided detailed Bill of Materials (BOM), ensuring high accuracy over default estimates. The \'Total Carbon\' values from the BOM are directly used for the material acquisition and processing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Material Carbon (Directly from BOM): 3.76 kg CO2e</w:t>
      </w:r>
    </w:p>
    <w:p>
      <w:pPr>
        <w:pStyle w:val="BodyText"/>
      </w:pPr>
      <w:r>
        <w:t xml:space="preserve">Total product weight (including packaging): 0.93 kg</w:t>
      </w:r>
    </w:p>
    <w:bookmarkEnd w:id="28"/>
    <w:bookmarkStart w:id="29" w:name="production-phase-energy-inputs"/>
    <w:p>
      <w:pPr>
        <w:pStyle w:val="Heading3"/>
      </w:pPr>
      <w:r>
        <w:t xml:space="preserve">3.2. Production Phase Energy Inputs</w:t>
      </w:r>
    </w:p>
    <w:p>
      <w:pPr>
        <w:numPr>
          <w:ilvl w:val="0"/>
          <w:numId w:val="1005"/>
        </w:numPr>
        <w:pStyle w:val="Compact"/>
      </w:pPr>
      <w:r>
        <w:rPr>
          <w:bCs/>
          <w:b/>
        </w:rPr>
        <w:t xml:space="preserve">Energy Intensity (kWh/unit):</w:t>
      </w:r>
      <w:r>
        <w:t xml:space="preserve"> </w:t>
      </w:r>
      <w:r>
        <w:t xml:space="preserve">15 kWh/unit</w:t>
      </w:r>
    </w:p>
    <w:p>
      <w:pPr>
        <w:numPr>
          <w:ilvl w:val="0"/>
          <w:numId w:val="1005"/>
        </w:numPr>
        <w:pStyle w:val="Compact"/>
      </w:pPr>
      <w:r>
        <w:rPr>
          <w:bCs/>
          <w:b/>
        </w:rPr>
        <w:t xml:space="preserve">Renewable Energy Usage:</w:t>
      </w:r>
      <w:r>
        <w:t xml:space="preserve"> </w:t>
      </w:r>
      <w:r>
        <w:t xml:space="preserve">30% (proportion of purchased electricity from renewable sources)</w:t>
      </w:r>
    </w:p>
    <w:bookmarkEnd w:id="29"/>
    <w:bookmarkStart w:id="30" w:name="logistics-data"/>
    <w:p>
      <w:pPr>
        <w:pStyle w:val="Heading3"/>
      </w:pPr>
      <w:r>
        <w:t xml:space="preserve">3.3. Logistics Data</w:t>
      </w:r>
    </w:p>
    <w:p>
      <w:pPr>
        <w:numPr>
          <w:ilvl w:val="0"/>
          <w:numId w:val="1006"/>
        </w:numPr>
        <w:pStyle w:val="Compact"/>
      </w:pPr>
      <w:r>
        <w:rPr>
          <w:bCs/>
          <w:b/>
        </w:rPr>
        <w:t xml:space="preserve">Primary Transport Mode (Factory to Distribution Hub):</w:t>
      </w:r>
      <w:r>
        <w:t xml:space="preserve"> </w:t>
      </w:r>
      <w:r>
        <w:t xml:space="preserve">Ocean Freight (Container Ship)</w:t>
      </w:r>
    </w:p>
    <w:p>
      <w:pPr>
        <w:numPr>
          <w:ilvl w:val="0"/>
          <w:numId w:val="1006"/>
        </w:numPr>
        <w:pStyle w:val="Compact"/>
      </w:pPr>
      <w:r>
        <w:rPr>
          <w:bCs/>
          <w:b/>
        </w:rPr>
        <w:t xml:space="preserve">Primary Transport Distance:</w:t>
      </w:r>
      <w:r>
        <w:t xml:space="preserve"> </w:t>
      </w:r>
      <w:r>
        <w:t xml:space="preserve">10000 km</w:t>
      </w:r>
    </w:p>
    <w:p>
      <w:pPr>
        <w:numPr>
          <w:ilvl w:val="0"/>
          <w:numId w:val="1006"/>
        </w:numPr>
        <w:pStyle w:val="Compact"/>
      </w:pPr>
      <w:r>
        <w:rPr>
          <w:bCs/>
          <w:b/>
        </w:rPr>
        <w:t xml:space="preserve">Last-Mile Delivery Channel:</w:t>
      </w:r>
      <w:r>
        <w:t xml:space="preserve"> </w:t>
      </w:r>
      <w:r>
        <w:t xml:space="preserve">Light Commercial Vehicle (Van)</w:t>
      </w:r>
    </w:p>
    <w:p>
      <w:pPr>
        <w:numPr>
          <w:ilvl w:val="0"/>
          <w:numId w:val="1006"/>
        </w:numPr>
        <w:pStyle w:val="Compact"/>
      </w:pPr>
      <w:r>
        <w:rPr>
          <w:bCs/>
          <w:b/>
        </w:rPr>
        <w:t xml:space="preserve">Last-Mile Delivery Distance:</w:t>
      </w:r>
      <w:r>
        <w:t xml:space="preserve"> </w:t>
      </w:r>
      <w:r>
        <w:t xml:space="preserve">50 km</w:t>
      </w:r>
    </w:p>
    <w:bookmarkEnd w:id="30"/>
    <w:bookmarkStart w:id="31"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bookmarkEnd w:id="31"/>
    <w:bookmarkStart w:id="32"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Circular/Take-back Programs:</w:t>
      </w:r>
      <w:r>
        <w:t xml:space="preserve"> </w:t>
      </w:r>
      <w:r>
        <w:t xml:space="preserve">Yes, Regional Take-back Program in place</w:t>
      </w:r>
    </w:p>
    <w:p>
      <w:r>
        <w:pict>
          <v:rect style="width:0;height:1.5pt" o:hralign="center" o:hrstd="t" o:hr="t"/>
        </w:pict>
      </w:r>
    </w:p>
    <w:bookmarkEnd w:id="32"/>
    <w:bookmarkEnd w:id="33"/>
    <w:bookmarkStart w:id="40" w:name="emission-calculations"/>
    <w:p>
      <w:pPr>
        <w:pStyle w:val="Heading2"/>
      </w:pPr>
      <w:r>
        <w:t xml:space="preserve">4. Emission Calculations</w:t>
      </w:r>
    </w:p>
    <w:p>
      <w:pPr>
        <w:pStyle w:val="FirstParagraph"/>
      </w:pPr>
      <w:r>
        <w:t xml:space="preserve">Emissions are calculated by multiplying activity data by appropriate emission factors. Industry-standard emission factors (e.g., from Ecoinvent/DEFRA equivalents) have been applied.</w:t>
      </w:r>
    </w:p>
    <w:bookmarkStart w:id="34" w:name="X9d9d55ad31a7915daa243843957eaa26434f635"/>
    <w:p>
      <w:pPr>
        <w:pStyle w:val="Heading3"/>
      </w:pPr>
      <w:r>
        <w:t xml:space="preserve">4.1. Scope 3 Emissions: Material Acquisition &amp; Processing (Upstream)</w:t>
      </w:r>
    </w:p>
    <w:p>
      <w:pPr>
        <w:pStyle w:val="FirstParagraph"/>
      </w:pPr>
      <w:r>
        <w:t xml:space="preserve">Emissions from raw material extraction, processing, and manufacturing of components are directly taken from the \'Total Carbon\' values provided in the Detailed Bill of Materials.</w:t>
      </w:r>
    </w:p>
    <w:p>
      <w:pPr>
        <w:pStyle w:val="BodyText"/>
      </w:pPr>
      <w:r>
        <w:rPr>
          <w:bCs/>
          <w:b/>
        </w:rPr>
        <w:t xml:space="preserve">Total Material Acquisition &amp; Processing Emissions: 3.76 kg CO2e</w:t>
      </w:r>
    </w:p>
    <w:bookmarkEnd w:id="34"/>
    <w:bookmarkStart w:id="35" w:name="X76433204c93cda123433902bc92034eed472520"/>
    <w:p>
      <w:pPr>
        <w:pStyle w:val="Heading3"/>
      </w:pPr>
      <w:r>
        <w:t xml:space="preserve">4.2. Scope 2 Emissions: Manufacturing (Production Phase)</w:t>
      </w:r>
    </w:p>
    <w:p>
      <w:pPr>
        <w:pStyle w:val="FirstParagraph"/>
      </w:pPr>
      <w:r>
        <w:t xml:space="preserve">The production phase emissions account for purchased electricity.</w:t>
      </w:r>
    </w:p>
    <w:p>
      <w:pPr>
        <w:numPr>
          <w:ilvl w:val="0"/>
          <w:numId w:val="1009"/>
        </w:numPr>
        <w:pStyle w:val="Compact"/>
      </w:pPr>
      <w:r>
        <w:t xml:space="preserve">Energy Intensity: 15 kWh/unit</w:t>
      </w:r>
    </w:p>
    <w:p>
      <w:pPr>
        <w:numPr>
          <w:ilvl w:val="0"/>
          <w:numId w:val="1009"/>
        </w:numPr>
        <w:pStyle w:val="Compact"/>
      </w:pPr>
      <w:r>
        <w:t xml:space="preserve">Renewable Energy Usage: 30%</w:t>
      </w:r>
    </w:p>
    <w:p>
      <w:pPr>
        <w:numPr>
          <w:ilvl w:val="0"/>
          <w:numId w:val="1009"/>
        </w:numPr>
        <w:pStyle w:val="Compact"/>
      </w:pPr>
      <w:r>
        <w:t xml:space="preserve">Non-renewable electricity: 15 kWh/unit * (1 - 0.30) = 10.5 kWh/unit</w:t>
      </w:r>
    </w:p>
    <w:p>
      <w:pPr>
        <w:numPr>
          <w:ilvl w:val="0"/>
          <w:numId w:val="1009"/>
        </w:numPr>
        <w:pStyle w:val="Compact"/>
      </w:pPr>
      <w:r>
        <w:t xml:space="preserve">China Grid Emission Factor (2023 National Average): 0.6205 kg CO2e/kWh</w:t>
      </w:r>
    </w:p>
    <w:p>
      <w:pPr>
        <w:numPr>
          <w:ilvl w:val="0"/>
          <w:numId w:val="1009"/>
        </w:numPr>
        <w:pStyle w:val="Compact"/>
      </w:pPr>
      <w:r>
        <w:t xml:space="preserve">Emissions from non-renewable electricity: 10.5 kWh/unit * 0.6205 kg CO2e/kWh = 6.515 kg CO2e</w:t>
      </w:r>
    </w:p>
    <w:p>
      <w:pPr>
        <w:numPr>
          <w:ilvl w:val="0"/>
          <w:numId w:val="1009"/>
        </w:numPr>
        <w:pStyle w:val="Compact"/>
      </w:pPr>
      <w:r>
        <w:t xml:space="preserve">Emissions from renewable electricity (assuming zero emissions at point of use): 0 kg CO2e</w:t>
      </w:r>
    </w:p>
    <w:p>
      <w:pPr>
        <w:pStyle w:val="FirstParagraph"/>
      </w:pPr>
      <w:r>
        <w:rPr>
          <w:bCs/>
          <w:b/>
        </w:rPr>
        <w:t xml:space="preserve">Total Manufacturing Emissions (Scope 2): 6.515 kg CO2e</w:t>
      </w:r>
    </w:p>
    <w:bookmarkEnd w:id="35"/>
    <w:bookmarkStart w:id="36" w:name="Xdd4d822a76dfacc6c5e4cf10bf747b7918b0539"/>
    <w:p>
      <w:pPr>
        <w:pStyle w:val="Heading3"/>
      </w:pPr>
      <w:r>
        <w:t xml:space="preserve">4.3. Scope 3 Emissions: Transport (Upstream &amp; Downstream)</w:t>
      </w:r>
    </w:p>
    <w:p>
      <w:pPr>
        <w:pStyle w:val="FirstParagraph"/>
      </w:pPr>
      <w:r>
        <w:t xml:space="preserve">Transport emissions include primary shipping from the manufacturing facility to the distribution hub and last-mile delivery to the customer. A total product weight of 0.93 kg (including packaging) is used for transport calculations.</w:t>
      </w:r>
    </w:p>
    <w:p>
      <w:pPr>
        <w:numPr>
          <w:ilvl w:val="0"/>
          <w:numId w:val="1010"/>
        </w:numPr>
        <w:pStyle w:val="Compact"/>
      </w:pPr>
      <w:r>
        <w:rPr>
          <w:bCs/>
          <w:b/>
        </w:rPr>
        <w:t xml:space="preserve">Upstream Transport (Ocean Freight - China to Europe):</w:t>
      </w:r>
    </w:p>
    <w:p>
      <w:pPr>
        <w:numPr>
          <w:ilvl w:val="1"/>
          <w:numId w:val="1011"/>
        </w:numPr>
        <w:pStyle w:val="Compact"/>
      </w:pPr>
      <w:r>
        <w:t xml:space="preserve">Mode: Ocean Freight (Container Ship)</w:t>
      </w:r>
    </w:p>
    <w:p>
      <w:pPr>
        <w:numPr>
          <w:ilvl w:val="1"/>
          <w:numId w:val="1011"/>
        </w:numPr>
        <w:pStyle w:val="Compact"/>
      </w:pPr>
      <w:r>
        <w:t xml:space="preserve">Distance: 10000 km</w:t>
      </w:r>
    </w:p>
    <w:p>
      <w:pPr>
        <w:numPr>
          <w:ilvl w:val="1"/>
          <w:numId w:val="1011"/>
        </w:numPr>
        <w:pStyle w:val="Compact"/>
      </w:pPr>
      <w:r>
        <w:t xml:space="preserve">Emission Factor: 0.016 kg CO2e/tkm (DEFRA/DESNZ average)</w:t>
      </w:r>
    </w:p>
    <w:p>
      <w:pPr>
        <w:numPr>
          <w:ilvl w:val="1"/>
          <w:numId w:val="1011"/>
        </w:numPr>
        <w:pStyle w:val="Compact"/>
      </w:pPr>
      <w:r>
        <w:t xml:space="preserve">Calculation: 0.93 kg * (1/1000 t/kg) * 10000 km * 0.016 kg CO2e/tkm = 0.149 kg CO2e</w:t>
      </w:r>
    </w:p>
    <w:p>
      <w:pPr>
        <w:numPr>
          <w:ilvl w:val="0"/>
          <w:numId w:val="1010"/>
        </w:numPr>
        <w:pStyle w:val="Compact"/>
      </w:pPr>
      <w:r>
        <w:rPr>
          <w:bCs/>
          <w:b/>
        </w:rPr>
        <w:t xml:space="preserve">Last-Mile Delivery (Europe):</w:t>
      </w:r>
    </w:p>
    <w:p>
      <w:pPr>
        <w:numPr>
          <w:ilvl w:val="1"/>
          <w:numId w:val="1012"/>
        </w:numPr>
        <w:pStyle w:val="Compact"/>
      </w:pPr>
      <w:r>
        <w:t xml:space="preserve">Mode: Light Commercial Vehicle (Van)</w:t>
      </w:r>
    </w:p>
    <w:p>
      <w:pPr>
        <w:numPr>
          <w:ilvl w:val="1"/>
          <w:numId w:val="1012"/>
        </w:numPr>
        <w:pStyle w:val="Compact"/>
      </w:pPr>
      <w:r>
        <w:t xml:space="preserve">Distance: 50 km</w:t>
      </w:r>
    </w:p>
    <w:p>
      <w:pPr>
        <w:numPr>
          <w:ilvl w:val="1"/>
          <w:numId w:val="1012"/>
        </w:numPr>
        <w:pStyle w:val="Compact"/>
      </w:pPr>
      <w:r>
        <w:t xml:space="preserve">Emission Factor: 0.150 kg CO2e/tkm (Generic light commercial vehicle average)</w:t>
      </w:r>
    </w:p>
    <w:p>
      <w:pPr>
        <w:numPr>
          <w:ilvl w:val="1"/>
          <w:numId w:val="1012"/>
        </w:numPr>
        <w:pStyle w:val="Compact"/>
      </w:pPr>
      <w:r>
        <w:t xml:space="preserve">Calculation: 0.93 kg * (1/1000 t/kg) * 50 km * 0.150 kg CO2e/tkm = 0.007 kg CO2e</w:t>
      </w:r>
    </w:p>
    <w:p>
      <w:pPr>
        <w:pStyle w:val="FirstParagraph"/>
      </w:pPr>
      <w:r>
        <w:rPr>
          <w:bCs/>
          <w:b/>
        </w:rPr>
        <w:t xml:space="preserve">Total Transport Emissions (Scope 3): 0.156 kg CO2e</w:t>
      </w:r>
    </w:p>
    <w:bookmarkEnd w:id="36"/>
    <w:bookmarkStart w:id="37" w:name="scope-3-emissions-use-phase-downstream"/>
    <w:p>
      <w:pPr>
        <w:pStyle w:val="Heading3"/>
      </w:pPr>
      <w:r>
        <w:t xml:space="preserve">4.4. Scope 3 Emissions: Use Phase (Downstream)</w:t>
      </w:r>
    </w:p>
    <w:p>
      <w:pPr>
        <w:pStyle w:val="FirstParagraph"/>
      </w:pPr>
      <w:r>
        <w:t xml:space="preserve">The use phase emissions are based on the product\'s energy consumption over its lifespan and the average European electricity grid mix.</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10 kWh/year * 5 years = 50 kWh</w:t>
      </w:r>
    </w:p>
    <w:p>
      <w:pPr>
        <w:numPr>
          <w:ilvl w:val="0"/>
          <w:numId w:val="1013"/>
        </w:numPr>
        <w:pStyle w:val="Compact"/>
      </w:pPr>
      <w:r>
        <w:t xml:space="preserve">European Grid Emission Factor (2019 average): 0.238 kg CO2e/kWh</w:t>
      </w:r>
    </w:p>
    <w:p>
      <w:pPr>
        <w:pStyle w:val="FirstParagraph"/>
      </w:pPr>
      <w:r>
        <w:rPr>
          <w:bCs/>
          <w:b/>
        </w:rPr>
        <w:t xml:space="preserve">Total Use Phase Emissions (Scope 3): 50 kWh * 0.238 kg CO2e/kWh = 11.900 kg CO2e</w:t>
      </w:r>
    </w:p>
    <w:bookmarkEnd w:id="37"/>
    <w:bookmarkStart w:id="38" w:name="Xb1befff2f1787b364006ce98e31f3be7cc43221"/>
    <w:p>
      <w:pPr>
        <w:pStyle w:val="Heading3"/>
      </w:pPr>
      <w:r>
        <w:t xml:space="preserve">4.5. Scope 3 Emissions: End-of-Life (EoL) (Downstream)</w:t>
      </w:r>
    </w:p>
    <w:p>
      <w:pPr>
        <w:pStyle w:val="FirstParagraph"/>
      </w:pPr>
      <w:r>
        <w:t xml:space="preserve">End-of-life emissions consider recyclability and circular economy programs. The net product weight (excluding packaging) for EoL is 0.73 kg.</w:t>
      </w:r>
    </w:p>
    <w:p>
      <w:pPr>
        <w:numPr>
          <w:ilvl w:val="0"/>
          <w:numId w:val="1014"/>
        </w:numPr>
        <w:pStyle w:val="Compact"/>
      </w:pPr>
      <w:r>
        <w:t xml:space="preserve">Recyclability Percentage: 70%</w:t>
      </w:r>
    </w:p>
    <w:p>
      <w:pPr>
        <w:numPr>
          <w:ilvl w:val="0"/>
          <w:numId w:val="1014"/>
        </w:numPr>
        <w:pStyle w:val="Compact"/>
      </w:pPr>
      <w:r>
        <w:t xml:space="preserve">Non-recyclable portion: 0.73 kg * (1 - 0.70) = 0.219 kg</w:t>
      </w:r>
    </w:p>
    <w:p>
      <w:pPr>
        <w:numPr>
          <w:ilvl w:val="0"/>
          <w:numId w:val="1014"/>
        </w:numPr>
        <w:pStyle w:val="Compact"/>
      </w:pPr>
      <w:r>
        <w:t xml:space="preserve">Recyclable portion: 0.73 kg * 0.70 = 0.511 kg</w:t>
      </w:r>
    </w:p>
    <w:p>
      <w:pPr>
        <w:numPr>
          <w:ilvl w:val="0"/>
          <w:numId w:val="1014"/>
        </w:numPr>
        <w:pStyle w:val="Compact"/>
      </w:pPr>
      <w:r>
        <w:t xml:space="preserve">Emissions from disposal of non-recyclable part (simplified landfill EF): 0.219 kg * 0.5 kg CO2e/kg = 0.110 kg CO2e</w:t>
      </w:r>
    </w:p>
    <w:p>
      <w:pPr>
        <w:numPr>
          <w:ilvl w:val="0"/>
          <w:numId w:val="1014"/>
        </w:numPr>
        <w:pStyle w:val="Compact"/>
      </w:pPr>
      <w:r>
        <w:t xml:space="preserve">Credit from recycling of recyclable part (simplified avoided production credit): 0.511 kg * -0.8 kg CO2e/kg = -0.409 kg CO2e</w:t>
      </w:r>
    </w:p>
    <w:p>
      <w:pPr>
        <w:pStyle w:val="FirstParagraph"/>
      </w:pPr>
      <w:r>
        <w:rPr>
          <w:bCs/>
          <w:b/>
        </w:rPr>
        <w:t xml:space="preserve">Total End-of-Life Emissions (Scope 3): 0.110 kg CO2e - 0.409 kg CO2e = -0.299 kg CO2e (net carbon benefit)</w:t>
      </w:r>
    </w:p>
    <w:bookmarkEnd w:id="38"/>
    <w:bookmarkStart w:id="39" w:name="total-product-carbon-footprint-summary"/>
    <w:p>
      <w:pPr>
        <w:pStyle w:val="Heading3"/>
      </w:pPr>
      <w:r>
        <w:t xml:space="preserve">4.6.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3.760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6.515</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0.156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11.900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-0.299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22.032</w:t>
            </w:r>
          </w:p>
        </w:tc>
      </w:tr>
    </w:tbl>
    <w:p>
      <w:pPr>
        <w:pStyle w:val="BodyText"/>
      </w:pPr>
      <w:r>
        <w:rPr>
          <w:bCs/>
          <w:b/>
        </w:rPr>
        <w:t xml:space="preserve">Total Product Carbon Footprint for kezzxfsvwv: 22.03 kg CO2e per functional unit.</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The primary emission hotspots for kezzxfsvwv are:</w:t>
      </w:r>
    </w:p>
    <w:p>
      <w:pPr>
        <w:numPr>
          <w:ilvl w:val="0"/>
          <w:numId w:val="1015"/>
        </w:numPr>
        <w:pStyle w:val="Compact"/>
      </w:pPr>
      <w:r>
        <w:rPr>
          <w:bCs/>
          <w:b/>
        </w:rPr>
        <w:t xml:space="preserve">Use Phase (11.90 kg CO2e):</w:t>
      </w:r>
      <w:r>
        <w:t xml:space="preserve"> </w:t>
      </w:r>
      <w:r>
        <w:t xml:space="preserve">Represents the largest contribution, primarily due to the energy consumption of the product over its 5-year lifespan. This highlights a critical area for energy efficiency improvements.</w:t>
      </w:r>
    </w:p>
    <w:p>
      <w:pPr>
        <w:numPr>
          <w:ilvl w:val="0"/>
          <w:numId w:val="1015"/>
        </w:numPr>
        <w:pStyle w:val="Compact"/>
      </w:pPr>
      <w:r>
        <w:rPr>
          <w:bCs/>
          <w:b/>
        </w:rPr>
        <w:t xml:space="preserve">Manufacturing (6.515 kg CO2e):</w:t>
      </w:r>
      <w:r>
        <w:t xml:space="preserve"> </w:t>
      </w:r>
      <w:r>
        <w:t xml:space="preserve">Significant due to electricity consumption in the production country (China). Increasing renewable energy usage beyond 30% or shifting to lower-carbon electricity grids would yield substantial reductions.</w:t>
      </w:r>
    </w:p>
    <w:p>
      <w:pPr>
        <w:numPr>
          <w:ilvl w:val="0"/>
          <w:numId w:val="1015"/>
        </w:numPr>
        <w:pStyle w:val="Compact"/>
      </w:pPr>
      <w:r>
        <w:rPr>
          <w:bCs/>
          <w:b/>
        </w:rPr>
        <w:t xml:space="preserve">Material Acquisition &amp; Processing (3.76 kg CO2e):</w:t>
      </w:r>
      <w:r>
        <w:t xml:space="preserve"> </w:t>
      </w:r>
      <w:r>
        <w:t xml:space="preserve">The impact of raw materials and component manufacturing is notable. Opportunities exist in optimizing material choices, sourcing lower-carbon alternatives, and improving material efficiency.</w:t>
      </w:r>
    </w:p>
    <w:p>
      <w:pPr>
        <w:numPr>
          <w:ilvl w:val="0"/>
          <w:numId w:val="1015"/>
        </w:numPr>
        <w:pStyle w:val="Compact"/>
      </w:pPr>
      <w:r>
        <w:rPr>
          <w:bCs/>
          <w:b/>
        </w:rPr>
        <w:t xml:space="preserve">Transport (0.156 kg CO2e):</w:t>
      </w:r>
      <w:r>
        <w:t xml:space="preserve"> </w:t>
      </w:r>
      <w:r>
        <w:t xml:space="preserve">While relatively low, optimization of logistics (e.g., higher load factors, more efficient modes) could still offer minor reductions.</w:t>
      </w:r>
    </w:p>
    <w:p>
      <w:pPr>
        <w:numPr>
          <w:ilvl w:val="0"/>
          <w:numId w:val="1015"/>
        </w:numPr>
        <w:pStyle w:val="Compact"/>
      </w:pPr>
      <w:r>
        <w:rPr>
          <w:bCs/>
          <w:b/>
        </w:rPr>
        <w:t xml:space="preserve">End-of-Life (-0.299 kg CO2e):</w:t>
      </w:r>
      <w:r>
        <w:t xml:space="preserve"> </w:t>
      </w:r>
      <w:r>
        <w:t xml:space="preserve">Demonstrates a net carbon benefit, indicating that the high recyclability (70%) and the presence of circular/take-back programs effectively mitigate and even reduce emissions compared to virgin material production. This confirms the positive impact of igzjggidii\'s circular economy initiatives.</w:t>
      </w:r>
    </w:p>
    <w:bookmarkEnd w:id="41"/>
    <w:bookmarkStart w:id="43" w:name="reliability-statement"/>
    <w:p>
      <w:pPr>
        <w:pStyle w:val="Heading3"/>
      </w:pPr>
      <w:r>
        <w:t xml:space="preserve">5.2. Reliability Statement</w:t>
      </w:r>
    </w:p>
    <w:p>
      <w:pPr>
        <w:pStyle w:val="FirstParagraph"/>
      </w:pPr>
      <w:r>
        <w:t xml:space="preserve">This PCF report is based on the best available data and industry-standard emission factors at the time of calculation (May 2026). While specific data for the Bill of Materials, energy usage, and logistics were provided by igzjggidii, generic emission factors from recognized databases (e.g., DEFRA, IEA, Climatiq) have been applied where primary data for specific processes or exact grid mixes were unavailable. The calculation adheres to the principles of the GHG Protocol, aiming for completeness, consistency, accuracy, transparency, and relevance. The 2026 LSR Standard update will be fully integrated as soon as its guidance is published and effective on January 1, 2027, further enhancing the granularity of land-related emissions and removals.</w:t>
      </w:r>
    </w:p>
    <w:p>
      <w:pPr>
        <w:pStyle w:val="BodyText"/>
      </w:pPr>
      <w:r>
        <w:t xml:space="preserve">To further enhance the accuracy and reliability of future assessments, it is recommended to:</w:t>
      </w:r>
    </w:p>
    <w:p>
      <w:pPr>
        <w:numPr>
          <w:ilvl w:val="0"/>
          <w:numId w:val="1016"/>
        </w:numPr>
        <w:pStyle w:val="Compact"/>
      </w:pPr>
      <w:r>
        <w:t xml:space="preserve">Collect more granular, site-specific primary data for manufacturing energy consumption and upstream supply chain processes.</w:t>
      </w:r>
    </w:p>
    <w:p>
      <w:pPr>
        <w:numPr>
          <w:ilvl w:val="0"/>
          <w:numId w:val="1016"/>
        </w:numPr>
        <w:pStyle w:val="Compact"/>
      </w:pPr>
      <w:r>
        <w:t xml:space="preserve">Investigate product-specific end-of-life treatment emission factors and recycling rates to refine EoL calculations.</w:t>
      </w:r>
    </w:p>
    <w:p>
      <w:pPr>
        <w:numPr>
          <w:ilvl w:val="0"/>
          <w:numId w:val="1016"/>
        </w:numPr>
        <w:pStyle w:val="Compact"/>
      </w:pPr>
      <w:r>
        <w:t xml:space="preserve">Regularly update emission factors to reflect the latest regional energy grid improvements and transport efficiencies.</w:t>
      </w:r>
    </w:p>
    <w:p>
      <w:pPr>
        <w:pStyle w:val="FirstParagraph"/>
      </w:pPr>
      <w:r>
        <w:t xml:space="preserve">Confidential - Internal Use Only | Page</w:t>
      </w:r>
      <w:r>
        <w:t xml:space="preserve"> </w:t>
      </w:r>
      <w:bookmarkStart w:id="42" w:name="pageNumber"/>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kezzxfsvwv - igzjggidii</dc:title>
  <dc:creator/>
  <dc:description>Detailed Product Carbon Footprint (PCF) analysis for kezzxfsvwv by Senior Sustainability Consultant jiihnotfjv, adhering to GHG Protocol standards for company igzjggidii. Covers material, production, transport, use, and end-of-life impacts.</dc:description>
  <dc:language>en</dc:language>
  <cp:keywords/>
  <dcterms:created xsi:type="dcterms:W3CDTF">2026-07-15T04:45:33Z</dcterms:created>
  <dcterms:modified xsi:type="dcterms:W3CDTF">2026-07-15T04:45:33Z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