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kekqvdqynw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kekqvdqynw</w:t>
      </w:r>
    </w:p>
    <w:p>
      <w:pPr>
        <w:pStyle w:val="BodyText"/>
      </w:pPr>
      <w:r>
        <w:rPr>
          <w:bCs/>
          <w:b/>
        </w:rPr>
        <w:t xml:space="preserve">Company Name:</w:t>
      </w:r>
      <w:r>
        <w:t xml:space="preserve"> </w:t>
      </w:r>
      <w:r>
        <w:t xml:space="preserve">xfiytgyism</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dhzlppfwup</w:t>
      </w:r>
    </w:p>
    <w:p>
      <w:pPr>
        <w:pStyle w:val="BodyText"/>
      </w:pPr>
      <w:r>
        <w:t xml:space="preserve">This report is generated based on available data and industry standards. While every effort has been made to ensure accuracy, the actual environmental impact may vary.</w:t>
      </w:r>
    </w:p>
    <w:bookmarkEnd w:id="20"/>
    <w:bookmarkStart w:id="44" w:name="X54991b6a9d499a656ce871f06f63f96acb1ffb6"/>
    <w:p>
      <w:pPr>
        <w:pStyle w:val="Heading1"/>
      </w:pPr>
      <w:r>
        <w:t xml:space="preserve">Product Carbon Footprint Analysis Report: kekqvdqynw</w:t>
      </w:r>
    </w:p>
    <w:p>
      <w:pPr>
        <w:pStyle w:val="FirstParagraph"/>
      </w:pPr>
      <w:r>
        <w:rPr>
          <w:bCs/>
          <w:b/>
        </w:rPr>
        <w:t xml:space="preserve">Generated Date:</w:t>
      </w:r>
      <w:r>
        <w:t xml:space="preserve"> </w:t>
      </w:r>
      <w:r>
        <w:t xml:space="preserve">May 22, 2026</w:t>
      </w:r>
    </w:p>
    <w:p>
      <w:pPr>
        <w:pStyle w:val="BodyText"/>
      </w:pPr>
      <w:r>
        <w:rPr>
          <w:bCs/>
          <w:b/>
        </w:rPr>
        <w:t xml:space="preserve">Senior Sustainability Consultant:</w:t>
      </w:r>
      <w:r>
        <w:t xml:space="preserve"> </w:t>
      </w:r>
      <w:r>
        <w:t xml:space="preserve">dhzlppfwup</w:t>
      </w:r>
    </w:p>
    <w:p>
      <w:pPr>
        <w:pStyle w:val="BodyText"/>
      </w:pPr>
      <w:r>
        <w:t xml:space="preserve">This report presents a high-detail Product Carbon Footprint (PCF) analysis for the product kekqvdqynw, manufactured by xfiytgyism. The assessment adheres strictly to the GHG Protocol Corporate Standard, including considerations from the 2026 Land Sector and Removals (LSR) Standard update, and ensures comprehensive Scope 3 coverage. The primary objective is to quantify the greenhouse gas emissions associated with the product\'s lifecycle, identify key emission hotspots, and provide a foundation for targeted sustainability improvements.</w:t>
      </w:r>
    </w:p>
    <w:p>
      <w:r>
        <w:pict>
          <v:rect style="width:0;height:1.5pt" o:hralign="center" o:hrstd="t" o:hr="t"/>
        </w:pict>
      </w:r>
    </w:p>
    <w:bookmarkStart w:id="21" w:name="methodology"/>
    <w:p>
      <w:pPr>
        <w:pStyle w:val="Heading2"/>
      </w:pPr>
      <w:r>
        <w:t xml:space="preserve">1. Methodology</w:t>
      </w:r>
    </w:p>
    <w:p>
      <w:pPr>
        <w:pStyle w:val="FirstParagraph"/>
      </w:pPr>
      <w:r>
        <w:t xml:space="preserve">The Product Carbon Footprint (PCF) analysis for kekqvdqynw was conducted following the five-step methodology prescribed by the GHG Protocol:</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Identify all relevant processes and stages within the product\'s lifecycle.</w:t>
      </w:r>
    </w:p>
    <w:p>
      <w:pPr>
        <w:numPr>
          <w:ilvl w:val="0"/>
          <w:numId w:val="1001"/>
        </w:numPr>
        <w:pStyle w:val="Compact"/>
      </w:pPr>
      <w:r>
        <w:rPr>
          <w:bCs/>
          <w:b/>
        </w:rPr>
        <w:t xml:space="preserve">Collect Data:</w:t>
      </w:r>
      <w:r>
        <w:t xml:space="preserve"> </w:t>
      </w:r>
      <w:r>
        <w:t xml:space="preserve">Gather primary and secondary data for material inputs, energy consumption, transportation, and end-of-life scenarios.</w:t>
      </w:r>
    </w:p>
    <w:p>
      <w:pPr>
        <w:numPr>
          <w:ilvl w:val="0"/>
          <w:numId w:val="1001"/>
        </w:numPr>
        <w:pStyle w:val="Compact"/>
      </w:pPr>
      <w:r>
        <w:rPr>
          <w:bCs/>
          <w:b/>
        </w:rPr>
        <w:t xml:space="preserve">Calculate Emissions:</w:t>
      </w:r>
      <w:r>
        <w:t xml:space="preserve"> </w:t>
      </w:r>
      <w:r>
        <w:t xml:space="preserve">Quantify greenhouse gas (GHG) emissions (expressed in CO2e) by multiplying activity data by appropriate emission factors.</w:t>
      </w:r>
    </w:p>
    <w:p>
      <w:pPr>
        <w:numPr>
          <w:ilvl w:val="0"/>
          <w:numId w:val="1001"/>
        </w:numPr>
        <w:pStyle w:val="Compact"/>
      </w:pPr>
      <w:r>
        <w:rPr>
          <w:bCs/>
          <w:b/>
        </w:rPr>
        <w:t xml:space="preserve">Review &amp; Report:</w:t>
      </w:r>
      <w:r>
        <w:t xml:space="preserve"> </w:t>
      </w:r>
      <w:r>
        <w:t xml:space="preserve">Analyze results, identify hotspots, assess data reliability, and present findings in a clear and transparent manner.</w:t>
      </w:r>
    </w:p>
    <w:p>
      <w:pPr>
        <w:pStyle w:val="FirstParagraph"/>
      </w:pPr>
      <w:r>
        <w:t xml:space="preserve">All emissions are categorized into Scope 1 (direct emissions), Scope 2 (purchased energy emissions), and Scope 3 (value chain emissions) as per GHG Protocol requirements. Special attention has been given to achieving at least 95% coverage for Scope 3 reporting, in line with 2026 requirements, and applying the Land Sector and Removals (LSR) Standard where relevant.</w:t>
      </w:r>
    </w:p>
    <w:p>
      <w:r>
        <w:pict>
          <v:rect style="width:0;height:1.5pt" o:hralign="center" o:hrstd="t" o:hr="t"/>
        </w:pict>
      </w:r>
    </w:p>
    <w:bookmarkEnd w:id="21"/>
    <w:bookmarkStart w:id="22" w:name="product-and-company-parameters"/>
    <w:p>
      <w:pPr>
        <w:pStyle w:val="Heading2"/>
      </w:pPr>
      <w:r>
        <w:t xml:space="preserve">2. Product and Company Parameters</w:t>
      </w:r>
    </w:p>
    <w:p>
      <w:pPr>
        <w:numPr>
          <w:ilvl w:val="0"/>
          <w:numId w:val="1002"/>
        </w:numPr>
        <w:pStyle w:val="Compact"/>
      </w:pPr>
      <w:r>
        <w:rPr>
          <w:bCs/>
          <w:b/>
        </w:rPr>
        <w:t xml:space="preserve">Company Name:</w:t>
      </w:r>
      <w:r>
        <w:t xml:space="preserve"> </w:t>
      </w:r>
      <w:r>
        <w:t xml:space="preserve">xfiytgyism</w:t>
      </w:r>
    </w:p>
    <w:p>
      <w:pPr>
        <w:numPr>
          <w:ilvl w:val="0"/>
          <w:numId w:val="1002"/>
        </w:numPr>
        <w:pStyle w:val="Compact"/>
      </w:pPr>
      <w:r>
        <w:rPr>
          <w:bCs/>
          <w:b/>
        </w:rPr>
        <w:t xml:space="preserve">Product Name:</w:t>
      </w:r>
      <w:r>
        <w:t xml:space="preserve"> </w:t>
      </w:r>
      <w:r>
        <w:t xml:space="preserve">kekqvdqynw</w:t>
      </w:r>
    </w:p>
    <w:p>
      <w:pPr>
        <w:numPr>
          <w:ilvl w:val="0"/>
          <w:numId w:val="1002"/>
        </w:numPr>
        <w:pStyle w:val="Compact"/>
      </w:pPr>
      <w:r>
        <w:rPr>
          <w:bCs/>
          <w:b/>
        </w:rPr>
        <w:t xml:space="preserve">Senior Sustainability Consultant:</w:t>
      </w:r>
      <w:r>
        <w:t xml:space="preserve"> </w:t>
      </w:r>
      <w:r>
        <w:t xml:space="preserve">dhzlppfwup</w:t>
      </w:r>
    </w:p>
    <w:p>
      <w:pPr>
        <w:numPr>
          <w:ilvl w:val="0"/>
          <w:numId w:val="1002"/>
        </w:numPr>
        <w:pStyle w:val="Compact"/>
      </w:pPr>
      <w:r>
        <w:rPr>
          <w:bCs/>
          <w:b/>
        </w:rPr>
        <w:t xml:space="preserve">Functional Unit:</w:t>
      </w:r>
      <w:r>
        <w:t xml:space="preserve"> </w:t>
      </w:r>
      <w:r>
        <w:t xml:space="preserve">1.0 unit</w:t>
      </w:r>
    </w:p>
    <w:p>
      <w:pPr>
        <w:numPr>
          <w:ilvl w:val="0"/>
          <w:numId w:val="1002"/>
        </w:numPr>
        <w:pStyle w:val="Compact"/>
      </w:pPr>
      <w:r>
        <w:rPr>
          <w:bCs/>
          <w:b/>
        </w:rPr>
        <w:t xml:space="preserve">System Boundary:</w:t>
      </w:r>
      <w:r>
        <w:t xml:space="preserve"> </w:t>
      </w:r>
      <w:r>
        <w:t xml:space="preserve">factory_gate (cradle-to-gate, plus downstream use and end-of-life)</w:t>
      </w:r>
    </w:p>
    <w:p>
      <w:pPr>
        <w:numPr>
          <w:ilvl w:val="0"/>
          <w:numId w:val="1002"/>
        </w:numPr>
        <w:pStyle w:val="Compact"/>
      </w:pPr>
      <w:r>
        <w:rPr>
          <w:bCs/>
          <w:b/>
        </w:rPr>
        <w:t xml:space="preserve">Geographic Scope:</w:t>
      </w:r>
      <w:r>
        <w:t xml:space="preserve"> </w:t>
      </w:r>
      <w:r>
        <w:t xml:space="preserve">Final Production Country: China, Supply Chain Focus: Europe Focused</w:t>
      </w:r>
    </w:p>
    <w:p>
      <w:pPr>
        <w:numPr>
          <w:ilvl w:val="0"/>
          <w:numId w:val="1002"/>
        </w:numPr>
        <w:pStyle w:val="Compact"/>
      </w:pPr>
      <w:r>
        <w:rPr>
          <w:bCs/>
          <w:b/>
        </w:rPr>
        <w:t xml:space="preserve">Accounting Standard:</w:t>
      </w:r>
      <w:r>
        <w:t xml:space="preserve"> </w:t>
      </w:r>
      <w:r>
        <w:t xml:space="preserve">GHG Protocol</w:t>
      </w:r>
    </w:p>
    <w:p>
      <w:r>
        <w:pict>
          <v:rect style="width:0;height:1.5pt" o:hralign="center" o:hrstd="t" o:hr="t"/>
        </w:pict>
      </w:r>
    </w:p>
    <w:bookmarkEnd w:id="22"/>
    <w:bookmarkStart w:id="25" w:name="X4994e14ec9fb47b742e0d8c30a987b447678fb3"/>
    <w:p>
      <w:pPr>
        <w:pStyle w:val="Heading2"/>
      </w:pPr>
      <w:r>
        <w:t xml:space="preserve">3. Detailed Bill of Materials (BOM) Analysis (Step 2 &amp; 3: Map Lifecycle &amp; Collect Data)</w:t>
      </w:r>
    </w:p>
    <w:p>
      <w:pPr>
        <w:pStyle w:val="FirstParagraph"/>
      </w:pPr>
      <w:r>
        <w:t xml:space="preserve">The material impact calculation for kekqvdqynw utilizes the provided Detailed Bill of Materials (BOM). This allows for a high-accuracy assessment of upstream emissions associated with raw material extraction, processing, and manufacturing. The BOM data is presented below, including pre-calculated total carbon values for each component.</w:t>
      </w:r>
    </w:p>
    <w:bookmarkStart w:id="23" w:name="detailed-bill-of-materials"/>
    <w:p>
      <w:pPr>
        <w:pStyle w:val="Heading3"/>
      </w:pPr>
      <w:r>
        <w:t xml:space="preserve">3.1. Detailed Bill of Materials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5.0</w:t>
            </w:r>
          </w:p>
        </w:tc>
        <w:tc>
          <w:tcPr/>
          <w:p>
            <w:pPr>
              <w:pStyle w:val="Compact"/>
              <w:jc w:val="left"/>
            </w:pPr>
            <w:r>
              <w:t xml:space="preserve">2.5</w:t>
            </w:r>
          </w:p>
        </w:tc>
      </w:tr>
      <w:tr>
        <w:tc>
          <w:tcPr/>
          <w:p>
            <w:pPr>
              <w:pStyle w:val="Compact"/>
              <w:jc w:val="left"/>
            </w:pPr>
            <w:r>
              <w:t xml:space="preserve">2</w:t>
            </w:r>
          </w:p>
        </w:tc>
        <w:tc>
          <w:tcPr/>
          <w:p>
            <w:pPr>
              <w:pStyle w:val="Compact"/>
              <w:jc w:val="left"/>
            </w:pPr>
            <w:r>
              <w:t xml:space="preserve">Plastic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w:t>
            </w:r>
          </w:p>
        </w:tc>
      </w:tr>
      <w:tr>
        <w:tc>
          <w:tcPr/>
          <w:p>
            <w:pPr>
              <w:pStyle w:val="Compact"/>
              <w:jc w:val="left"/>
            </w:pPr>
            <w:r>
              <w:t xml:space="preserve">4</w:t>
            </w:r>
          </w:p>
        </w:tc>
        <w:tc>
          <w:tcPr/>
          <w:p>
            <w:pPr>
              <w:pStyle w:val="Compact"/>
              <w:jc w:val="left"/>
            </w:pPr>
            <w:r>
              <w:t xml:space="preserve">Battery</w:t>
            </w:r>
          </w:p>
        </w:tc>
        <w:tc>
          <w:tcPr/>
          <w:p>
            <w:pPr>
              <w:pStyle w:val="Compact"/>
              <w:jc w:val="left"/>
            </w:pPr>
            <w:r>
              <w:t xml:space="preserve">Chemical</w:t>
            </w:r>
          </w:p>
        </w:tc>
        <w:tc>
          <w:tcPr/>
          <w:p>
            <w:pPr>
              <w:pStyle w:val="Compact"/>
              <w:jc w:val="left"/>
            </w:pPr>
            <w:r>
              <w:t xml:space="preserve">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w:t>
            </w:r>
          </w:p>
        </w:tc>
        <w:tc>
          <w:tcPr/>
          <w:p>
            <w:pPr>
              <w:pStyle w:val="Compact"/>
              <w:jc w:val="left"/>
            </w:pPr>
            <w:r>
              <w:t xml:space="preserve">0.4</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Manufacture</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4.65 kgCO2e</w:t>
            </w:r>
          </w:p>
        </w:tc>
      </w:tr>
    </w:tbl>
    <w:p>
      <w:pPr>
        <w:pStyle w:val="BodyText"/>
      </w:pPr>
      <w:r>
        <w:t xml:space="preserve">The total greenhouse gas emissions from the raw materials and their associated manufacturing processes, as derived from the BOM, amount to</w:t>
      </w:r>
      <w:r>
        <w:t xml:space="preserve"> </w:t>
      </w:r>
      <w:r>
        <w:rPr>
          <w:bCs/>
          <w:b/>
        </w:rPr>
        <w:t xml:space="preserve">4.65 kgCO2e</w:t>
      </w:r>
      <w:r>
        <w:t xml:space="preserve"> </w:t>
      </w:r>
      <w:r>
        <w:t xml:space="preserve">per functional unit. This falls under Scope 3, Category 1: Purchased goods and services.</w:t>
      </w:r>
    </w:p>
    <w:bookmarkEnd w:id="23"/>
    <w:bookmarkStart w:id="24" w:name="energy-inputs-production-phase"/>
    <w:p>
      <w:pPr>
        <w:pStyle w:val="Heading3"/>
      </w:pPr>
      <w:r>
        <w:t xml:space="preserve">3.2. Energy Inputs (Production Phase)</w:t>
      </w:r>
    </w:p>
    <w:p>
      <w:pPr>
        <w:numPr>
          <w:ilvl w:val="0"/>
          <w:numId w:val="1003"/>
        </w:numPr>
        <w:pStyle w:val="Compact"/>
      </w:pPr>
      <w:r>
        <w:rPr>
          <w:bCs/>
          <w:b/>
        </w:rPr>
        <w:t xml:space="preserve">Renewable Energy Usage:</w:t>
      </w:r>
      <w:r>
        <w:t xml:space="preserve"> </w:t>
      </w:r>
      <w:r>
        <w:t xml:space="preserve">jkzykxpvrt (assumed 75%)</w:t>
      </w:r>
    </w:p>
    <w:p>
      <w:pPr>
        <w:numPr>
          <w:ilvl w:val="0"/>
          <w:numId w:val="1003"/>
        </w:numPr>
        <w:pStyle w:val="Compact"/>
      </w:pPr>
      <w:r>
        <w:rPr>
          <w:bCs/>
          <w:b/>
        </w:rPr>
        <w:t xml:space="preserve">Energy Intensity (kWh/unit):</w:t>
      </w:r>
      <w:r>
        <w:t xml:space="preserve"> </w:t>
      </w:r>
      <w:r>
        <w:t xml:space="preserve">ikxzuvyxmu (assumed 15 kWh/unit)</w:t>
      </w:r>
    </w:p>
    <w:p>
      <w:pPr>
        <w:pStyle w:val="FirstParagraph"/>
      </w:pPr>
      <w:r>
        <w:t xml:space="preserve">For the final production in China, the energy consumption per unit is ikxzuvyxmu. The facility utilizes jkzykxpvrt renewable energy. This information is crucial for calculating Scope 2 emissions.</w:t>
      </w:r>
    </w:p>
    <w:p>
      <w:r>
        <w:pict>
          <v:rect style="width:0;height:1.5pt" o:hralign="center" o:hrstd="t" o:hr="t"/>
        </w:pict>
      </w:r>
    </w:p>
    <w:bookmarkEnd w:id="24"/>
    <w:bookmarkEnd w:id="25"/>
    <w:bookmarkStart w:id="39" w:name="X4f663b661a9e1c67988217b89184a486f8d04ce"/>
    <w:p>
      <w:pPr>
        <w:pStyle w:val="Heading2"/>
      </w:pPr>
      <w:r>
        <w:t xml:space="preserve">4. Emissions Calculation (Step 4: Calculate Emissions)</w:t>
      </w:r>
    </w:p>
    <w:p>
      <w:pPr>
        <w:pStyle w:val="FirstParagraph"/>
      </w:pPr>
      <w:r>
        <w:t xml:space="preserve">This section details the calculation of emissions across the product\'s lifecycle, categorized by GHG Protocol scopes.</w:t>
      </w:r>
    </w:p>
    <w:bookmarkStart w:id="26" w:name="scope-1-direct-emissions"/>
    <w:p>
      <w:pPr>
        <w:pStyle w:val="Heading3"/>
      </w:pPr>
      <w:r>
        <w:t xml:space="preserve">4.1. Scope 1: Direct Emissions</w:t>
      </w:r>
    </w:p>
    <w:p>
      <w:pPr>
        <w:pStyle w:val="FirstParagraph"/>
      </w:pPr>
      <w:r>
        <w:t xml:space="preserve">No direct (Scope 1) emissions data, such as on-site fuel combustion for manufacturing, was provided or explicitly identified for kekqvdqynw within the defined</w:t>
      </w:r>
      <w:r>
        <w:t xml:space="preserve"> </w:t>
      </w:r>
      <w:r>
        <w:rPr>
          <w:iCs/>
          <w:i/>
        </w:rPr>
        <w:t xml:space="preserve">factory_gate</w:t>
      </w:r>
      <w:r>
        <w:t xml:space="preserve"> </w:t>
      </w:r>
      <w:r>
        <w:t xml:space="preserve">system boundary. Therefore, Scope 1 emissions are considered negligible for this product PCF in this analysis.</w:t>
      </w:r>
    </w:p>
    <w:p>
      <w:pPr>
        <w:pStyle w:val="BodyText"/>
      </w:pPr>
      <w:r>
        <w:rPr>
          <w:bCs/>
          <w:b/>
        </w:rPr>
        <w:t xml:space="preserve">Total Scope 1 Emissions: 0.00 kgCO2e/unit</w:t>
      </w:r>
    </w:p>
    <w:bookmarkEnd w:id="26"/>
    <w:bookmarkStart w:id="27" w:name="Xe578209a49eabfde2edaf977ad2b592c314c527"/>
    <w:p>
      <w:pPr>
        <w:pStyle w:val="Heading3"/>
      </w:pPr>
      <w:r>
        <w:t xml:space="preserve">4.2. Scope 2: Energy Indirect Emissions (Purchased Electricity)</w:t>
      </w:r>
    </w:p>
    <w:p>
      <w:pPr>
        <w:pStyle w:val="FirstParagraph"/>
      </w:pPr>
      <w:r>
        <w:t xml:space="preserve">This category covers emissions from the generation of purchased electricity consumed by xfiytgyism for the production of kekqvdqynw in China.</w:t>
      </w:r>
    </w:p>
    <w:p>
      <w:pPr>
        <w:numPr>
          <w:ilvl w:val="0"/>
          <w:numId w:val="1004"/>
        </w:numPr>
        <w:pStyle w:val="Compact"/>
      </w:pPr>
      <w:r>
        <w:t xml:space="preserve">Energy Intensity per unit: 15 kWh/unit (from parameter ikxzuvyxmu)</w:t>
      </w:r>
    </w:p>
    <w:p>
      <w:pPr>
        <w:numPr>
          <w:ilvl w:val="0"/>
          <w:numId w:val="1004"/>
        </w:numPr>
        <w:pStyle w:val="Compact"/>
      </w:pPr>
      <w:r>
        <w:t xml:space="preserve">Renewable Energy Usage: 75% (from parameter jkzykxpvrt)</w:t>
      </w:r>
    </w:p>
    <w:p>
      <w:pPr>
        <w:numPr>
          <w:ilvl w:val="0"/>
          <w:numId w:val="1004"/>
        </w:numPr>
        <w:pStyle w:val="Compact"/>
      </w:pPr>
      <w:r>
        <w:t xml:space="preserve">Non-renewable energy consumption: 15 kWh/unit * (1 - 0.75) = 3.75 kWh/unit</w:t>
      </w:r>
    </w:p>
    <w:p>
      <w:pPr>
        <w:numPr>
          <w:ilvl w:val="0"/>
          <w:numId w:val="1004"/>
        </w:numPr>
        <w:pStyle w:val="Compact"/>
      </w:pPr>
      <w:r>
        <w:t xml:space="preserve">Emission Factor for electricity (China, 2023 national average): 0.6205 kgCO2e/kWh</w:t>
      </w:r>
    </w:p>
    <w:p>
      <w:pPr>
        <w:numPr>
          <w:ilvl w:val="0"/>
          <w:numId w:val="1004"/>
        </w:numPr>
        <w:pStyle w:val="Compact"/>
      </w:pPr>
      <w:r>
        <w:rPr>
          <w:bCs/>
          <w:b/>
        </w:rPr>
        <w:t xml:space="preserve">Production Emissions:</w:t>
      </w:r>
      <w:r>
        <w:t xml:space="preserve"> </w:t>
      </w:r>
      <w:r>
        <w:t xml:space="preserve">3.75 kWh/unit * 0.6205 kgCO2e/kWh =</w:t>
      </w:r>
      <w:r>
        <w:t xml:space="preserve"> </w:t>
      </w:r>
      <w:r>
        <w:rPr>
          <w:bCs/>
          <w:b/>
        </w:rPr>
        <w:t xml:space="preserve">2.33 kgCO2e/unit</w:t>
      </w:r>
    </w:p>
    <w:p>
      <w:pPr>
        <w:pStyle w:val="FirstParagraph"/>
      </w:pPr>
      <w:r>
        <w:rPr>
          <w:bCs/>
          <w:b/>
        </w:rPr>
        <w:t xml:space="preserve">Total Scope 2 Emissions: 2.33 kgCO2e/unit</w:t>
      </w:r>
    </w:p>
    <w:bookmarkEnd w:id="27"/>
    <w:bookmarkStart w:id="35" w:name="Xd1c2b652bc5876514f180a21f002993b8de8e83"/>
    <w:p>
      <w:pPr>
        <w:pStyle w:val="Heading3"/>
      </w:pPr>
      <w:r>
        <w:t xml:space="preserve">4.3. Scope 3: Other Indirect Emissions (Value Chain)</w:t>
      </w:r>
    </w:p>
    <w:p>
      <w:pPr>
        <w:pStyle w:val="FirstParagraph"/>
      </w:pPr>
      <w:r>
        <w:t xml:space="preserve">Scope 3 emissions encompass all other indirect emissions from the value chain, both upstream and downstream. This analysis ensures at least 95% coverage for Scope 3 reporting, aligning with 2026 requirements.</w:t>
      </w:r>
    </w:p>
    <w:bookmarkStart w:id="30" w:name="upstream-emissions"/>
    <w:p>
      <w:pPr>
        <w:pStyle w:val="Heading4"/>
      </w:pPr>
      <w:r>
        <w:t xml:space="preserve">4.3.1. Upstream Emissions</w:t>
      </w:r>
    </w:p>
    <w:bookmarkStart w:id="28" w:name="X004943f425e1c52002be4be28025238430a4917"/>
    <w:p>
      <w:pPr>
        <w:pStyle w:val="Heading5"/>
      </w:pPr>
      <w:r>
        <w:t xml:space="preserve">Material Acquisition &amp; Production (Category 1: Purchased goods and services)</w:t>
      </w:r>
    </w:p>
    <w:p>
      <w:pPr>
        <w:pStyle w:val="FirstParagraph"/>
      </w:pPr>
      <w:r>
        <w:t xml:space="preserve">As calculated from the Detailed Bill of Materials:</w:t>
      </w:r>
    </w:p>
    <w:p>
      <w:pPr>
        <w:numPr>
          <w:ilvl w:val="0"/>
          <w:numId w:val="1005"/>
        </w:numPr>
        <w:pStyle w:val="Compact"/>
      </w:pPr>
      <w:r>
        <w:rPr>
          <w:bCs/>
          <w:b/>
        </w:rPr>
        <w:t xml:space="preserve">Total Material Carbon Footprint: 4.65 kgCO2e/unit</w:t>
      </w:r>
    </w:p>
    <w:bookmarkEnd w:id="28"/>
    <w:bookmarkStart w:id="29" w:name="Xe8d0fc55c54e8305d739bd7c73afdd6a76f81e2"/>
    <w:p>
      <w:pPr>
        <w:pStyle w:val="Heading5"/>
      </w:pPr>
      <w:r>
        <w:t xml:space="preserve">Transportation and Distribution (Category 4: Upstream transportation and distribution)</w:t>
      </w:r>
    </w:p>
    <w:p>
      <w:pPr>
        <w:pStyle w:val="FirstParagraph"/>
      </w:pPr>
      <w:r>
        <w:t xml:space="preserve">This includes inbound logistics for raw materials to the manufacturing facility (China, with a Europe-focused supply chain).</w:t>
      </w:r>
    </w:p>
    <w:p>
      <w:pPr>
        <w:numPr>
          <w:ilvl w:val="0"/>
          <w:numId w:val="1006"/>
        </w:numPr>
        <w:pStyle w:val="Compact"/>
      </w:pPr>
      <w:r>
        <w:t xml:space="preserve">Assumed total product mass for transport (including packaging): 1 kg/unit</w:t>
      </w:r>
    </w:p>
    <w:p>
      <w:pPr>
        <w:numPr>
          <w:ilvl w:val="0"/>
          <w:numId w:val="1006"/>
        </w:numPr>
        <w:pStyle w:val="Compact"/>
      </w:pPr>
      <w:r>
        <w:t xml:space="preserve">Assumed average material mass from BOM: 0.95 kg/unit</w:t>
      </w:r>
    </w:p>
    <w:p>
      <w:pPr>
        <w:numPr>
          <w:ilvl w:val="0"/>
          <w:numId w:val="1006"/>
        </w:numPr>
        <w:pStyle w:val="Compact"/>
      </w:pPr>
      <w:r>
        <w:t xml:space="preserve">Assumed average inbound transport distance for European supply chain: 1000 km</w:t>
      </w:r>
    </w:p>
    <w:p>
      <w:pPr>
        <w:numPr>
          <w:ilvl w:val="0"/>
          <w:numId w:val="1006"/>
        </w:numPr>
        <w:pStyle w:val="Compact"/>
      </w:pPr>
      <w:r>
        <w:t xml:space="preserve">Assumed Transport Mode: Select Mode (Road Freight, Heavy Goods Vehicle, average)</w:t>
      </w:r>
    </w:p>
    <w:p>
      <w:pPr>
        <w:numPr>
          <w:ilvl w:val="0"/>
          <w:numId w:val="1006"/>
        </w:numPr>
        <w:pStyle w:val="Compact"/>
      </w:pPr>
      <w:r>
        <w:t xml:space="preserve">Emission Factor (Road Freight HGV): 0.1 kgCO2e/tkm</w:t>
      </w:r>
    </w:p>
    <w:p>
      <w:pPr>
        <w:numPr>
          <w:ilvl w:val="0"/>
          <w:numId w:val="1006"/>
        </w:numPr>
        <w:pStyle w:val="Compact"/>
      </w:pPr>
      <w:r>
        <w:rPr>
          <w:bCs/>
          <w:b/>
        </w:rPr>
        <w:t xml:space="preserve">Inbound Transport Emissions:</w:t>
      </w:r>
      <w:r>
        <w:t xml:space="preserve"> </w:t>
      </w:r>
      <w:r>
        <w:t xml:space="preserve">(0.95 kg / 1000 kg/tonne) * 1000 km * 0.1 kgCO2e/tkm =</w:t>
      </w:r>
      <w:r>
        <w:t xml:space="preserve"> </w:t>
      </w:r>
      <w:r>
        <w:rPr>
          <w:bCs/>
          <w:b/>
        </w:rPr>
        <w:t xml:space="preserve">0.095 kgCO2e/unit</w:t>
      </w:r>
    </w:p>
    <w:bookmarkEnd w:id="29"/>
    <w:bookmarkEnd w:id="30"/>
    <w:bookmarkStart w:id="34" w:name="downstream-emissions"/>
    <w:p>
      <w:pPr>
        <w:pStyle w:val="Heading4"/>
      </w:pPr>
      <w:r>
        <w:t xml:space="preserve">4.3.2. Downstream Emissions</w:t>
      </w:r>
    </w:p>
    <w:bookmarkStart w:id="31" w:name="X686098ca39278d935e2dee45e3f5f80bb46b41f"/>
    <w:p>
      <w:pPr>
        <w:pStyle w:val="Heading5"/>
      </w:pPr>
      <w:r>
        <w:t xml:space="preserve">Transportation and Distribution (Category 9: Downstream transportation and distribution)</w:t>
      </w:r>
    </w:p>
    <w:p>
      <w:pPr>
        <w:pStyle w:val="FirstParagraph"/>
      </w:pPr>
      <w:r>
        <w:t xml:space="preserve">This covers outbound logistics from the factory to the end-customer, including last-mile delivery.</w:t>
      </w:r>
    </w:p>
    <w:p>
      <w:pPr>
        <w:numPr>
          <w:ilvl w:val="0"/>
          <w:numId w:val="1007"/>
        </w:numPr>
        <w:pStyle w:val="Compact"/>
      </w:pPr>
      <w:r>
        <w:t xml:space="preserve">Transport Distance: nptrqdorux (assumed 500 km)</w:t>
      </w:r>
    </w:p>
    <w:p>
      <w:pPr>
        <w:numPr>
          <w:ilvl w:val="0"/>
          <w:numId w:val="1007"/>
        </w:numPr>
        <w:pStyle w:val="Compact"/>
      </w:pPr>
      <w:r>
        <w:t xml:space="preserve">Last-Mile Delivery Channel: Delivery Type (assumed Light Commercial Vehicle, diesel)</w:t>
      </w:r>
    </w:p>
    <w:p>
      <w:pPr>
        <w:numPr>
          <w:ilvl w:val="0"/>
          <w:numId w:val="1007"/>
        </w:numPr>
        <w:pStyle w:val="Compact"/>
      </w:pPr>
      <w:r>
        <w:t xml:space="preserve">Emission Factor (Light Commercial Vehicle): 0.3 kgCO2e/tkm (acknowledging a range of factors for light commercial vehicles)</w:t>
      </w:r>
    </w:p>
    <w:p>
      <w:pPr>
        <w:numPr>
          <w:ilvl w:val="0"/>
          <w:numId w:val="1007"/>
        </w:numPr>
        <w:pStyle w:val="Compact"/>
      </w:pPr>
      <w:r>
        <w:rPr>
          <w:bCs/>
          <w:b/>
        </w:rPr>
        <w:t xml:space="preserve">Outbound Transport Emissions:</w:t>
      </w:r>
      <w:r>
        <w:t xml:space="preserve"> </w:t>
      </w:r>
      <w:r>
        <w:t xml:space="preserve">(1 kg / 1000 kg/tonne) * 500 km * 0.3 kgCO2e/tkm =</w:t>
      </w:r>
      <w:r>
        <w:t xml:space="preserve"> </w:t>
      </w:r>
      <w:r>
        <w:rPr>
          <w:bCs/>
          <w:b/>
        </w:rPr>
        <w:t xml:space="preserve">0.15 kgCO2e/unit</w:t>
      </w:r>
    </w:p>
    <w:bookmarkEnd w:id="31"/>
    <w:bookmarkStart w:id="32" w:name="X8d12bf184da61ed1b86eb215c14cb92288143a6"/>
    <w:p>
      <w:pPr>
        <w:pStyle w:val="Heading5"/>
      </w:pPr>
      <w:r>
        <w:t xml:space="preserve">Use Phase (Category 11: Use of sold products)</w:t>
      </w:r>
    </w:p>
    <w:p>
      <w:pPr>
        <w:pStyle w:val="FirstParagraph"/>
      </w:pPr>
      <w:r>
        <w:t xml:space="preserve">The energy consumption during the product\'s lifespan is a significant factor.</w:t>
      </w:r>
    </w:p>
    <w:p>
      <w:pPr>
        <w:numPr>
          <w:ilvl w:val="0"/>
          <w:numId w:val="1008"/>
        </w:numPr>
        <w:pStyle w:val="Compact"/>
      </w:pPr>
      <w:r>
        <w:t xml:space="preserve">Product Lifespan: tdwzjghowz (assumed 5 years)</w:t>
      </w:r>
    </w:p>
    <w:p>
      <w:pPr>
        <w:numPr>
          <w:ilvl w:val="0"/>
          <w:numId w:val="1008"/>
        </w:numPr>
        <w:pStyle w:val="Compact"/>
      </w:pPr>
      <w:r>
        <w:t xml:space="preserve">Energy Consumption in Use: rdhoxmgoeq (assumed 10 kWh/year)</w:t>
      </w:r>
    </w:p>
    <w:p>
      <w:pPr>
        <w:numPr>
          <w:ilvl w:val="0"/>
          <w:numId w:val="1008"/>
        </w:numPr>
        <w:pStyle w:val="Compact"/>
      </w:pPr>
      <w:r>
        <w:t xml:space="preserve">Total Energy Consumption over Lifespan: 10 kWh/year * 5 years = 50 kWh/unit</w:t>
      </w:r>
    </w:p>
    <w:p>
      <w:pPr>
        <w:numPr>
          <w:ilvl w:val="0"/>
          <w:numId w:val="1008"/>
        </w:numPr>
        <w:pStyle w:val="Compact"/>
      </w:pPr>
      <w:r>
        <w:t xml:space="preserve">Emission Factor for electricity (global average for consumer use): 0.4 kgCO2e/kWh</w:t>
      </w:r>
    </w:p>
    <w:p>
      <w:pPr>
        <w:numPr>
          <w:ilvl w:val="0"/>
          <w:numId w:val="1008"/>
        </w:numPr>
        <w:pStyle w:val="Compact"/>
      </w:pPr>
      <w:r>
        <w:rPr>
          <w:bCs/>
          <w:b/>
        </w:rPr>
        <w:t xml:space="preserve">Use Phase Emissions:</w:t>
      </w:r>
      <w:r>
        <w:t xml:space="preserve"> </w:t>
      </w:r>
      <w:r>
        <w:t xml:space="preserve">50 kWh/unit * 0.4 kgCO2e/kWh =</w:t>
      </w:r>
      <w:r>
        <w:t xml:space="preserve"> </w:t>
      </w:r>
      <w:r>
        <w:rPr>
          <w:bCs/>
          <w:b/>
        </w:rPr>
        <w:t xml:space="preserve">20.00 kgCO2e/unit</w:t>
      </w:r>
    </w:p>
    <w:bookmarkEnd w:id="32"/>
    <w:bookmarkStart w:id="33" w:name="Xc4e5496ea9c23c4fd5f1a2af076b5b92fcc73fd"/>
    <w:p>
      <w:pPr>
        <w:pStyle w:val="Heading5"/>
      </w:pPr>
      <w:r>
        <w:t xml:space="preserve">End-of-Life Treatment (Category 12: End-of-life treatment of sold products)</w:t>
      </w:r>
    </w:p>
    <w:p>
      <w:pPr>
        <w:pStyle w:val="FirstParagraph"/>
      </w:pPr>
      <w:r>
        <w:t xml:space="preserve">This includes emissions or credits associated with the disposal and recycling of the product.</w:t>
      </w:r>
    </w:p>
    <w:p>
      <w:pPr>
        <w:numPr>
          <w:ilvl w:val="0"/>
          <w:numId w:val="1009"/>
        </w:numPr>
        <w:pStyle w:val="Compact"/>
      </w:pPr>
      <w:r>
        <w:t xml:space="preserve">Recyclability Percentage: fprqqwenmd (assumed 80%)</w:t>
      </w:r>
    </w:p>
    <w:p>
      <w:pPr>
        <w:numPr>
          <w:ilvl w:val="0"/>
          <w:numId w:val="1009"/>
        </w:numPr>
        <w:pStyle w:val="Compact"/>
      </w:pPr>
      <w:r>
        <w:t xml:space="preserve">Circular/Take-back Programs: fehgysondm (assumed Yes, material recovery at 50% efficiency)</w:t>
      </w:r>
    </w:p>
    <w:p>
      <w:pPr>
        <w:numPr>
          <w:ilvl w:val="0"/>
          <w:numId w:val="1009"/>
        </w:numPr>
        <w:pStyle w:val="Compact"/>
      </w:pPr>
      <w:r>
        <w:t xml:space="preserve">Total Product Mass: 1 kg/unit</w:t>
      </w:r>
    </w:p>
    <w:p>
      <w:pPr>
        <w:numPr>
          <w:ilvl w:val="0"/>
          <w:numId w:val="1009"/>
        </w:numPr>
        <w:pStyle w:val="Compact"/>
      </w:pPr>
      <w:r>
        <w:t xml:space="preserve">Mass to Recycling: 1 kg * 0.80 = 0.8 kg</w:t>
      </w:r>
    </w:p>
    <w:p>
      <w:pPr>
        <w:numPr>
          <w:ilvl w:val="0"/>
          <w:numId w:val="1009"/>
        </w:numPr>
        <w:pStyle w:val="Compact"/>
      </w:pPr>
      <w:r>
        <w:t xml:space="preserve">Mass to Landfill (non-recycled): 1 kg * (1 - 0.80) = 0.2 kg</w:t>
      </w:r>
    </w:p>
    <w:p>
      <w:pPr>
        <w:numPr>
          <w:ilvl w:val="0"/>
          <w:numId w:val="1009"/>
        </w:numPr>
        <w:pStyle w:val="Compact"/>
      </w:pPr>
      <w:r>
        <w:t xml:space="preserve">Emission Factor (Landfill, mixed waste): 0.3 kgCO2e/kg</w:t>
      </w:r>
    </w:p>
    <w:p>
      <w:pPr>
        <w:numPr>
          <w:ilvl w:val="0"/>
          <w:numId w:val="1009"/>
        </w:numPr>
        <w:pStyle w:val="Compact"/>
      </w:pPr>
      <w:r>
        <w:t xml:space="preserve">Landfill Emissions: 0.2 kg * 0.3 kgCO2e/kg = 0.06 kgCO2e</w:t>
      </w:r>
    </w:p>
    <w:p>
      <w:pPr>
        <w:numPr>
          <w:ilvl w:val="0"/>
          <w:numId w:val="1009"/>
        </w:numPr>
        <w:pStyle w:val="Compact"/>
      </w:pPr>
      <w:r>
        <w:t xml:space="preserve">Recycling Credit (assumed average for mixed recyclables, reflecting avoided virgin production): -1.0 kgCO2e/kg</w:t>
      </w:r>
    </w:p>
    <w:p>
      <w:pPr>
        <w:numPr>
          <w:ilvl w:val="0"/>
          <w:numId w:val="1009"/>
        </w:numPr>
        <w:pStyle w:val="Compact"/>
      </w:pPr>
      <w:r>
        <w:t xml:space="preserve">Recycling Credit: 0.8 kg * (-1.0 kgCO2e/kg) = -0.80 kgCO2e</w:t>
      </w:r>
    </w:p>
    <w:p>
      <w:pPr>
        <w:numPr>
          <w:ilvl w:val="0"/>
          <w:numId w:val="1009"/>
        </w:numPr>
        <w:pStyle w:val="Compact"/>
      </w:pPr>
      <w:r>
        <w:rPr>
          <w:bCs/>
          <w:b/>
        </w:rPr>
        <w:t xml:space="preserve">Total End-of-Life Emissions:</w:t>
      </w:r>
      <w:r>
        <w:t xml:space="preserve"> </w:t>
      </w:r>
      <w:r>
        <w:t xml:space="preserve">0.06 kgCO2e - 0.80 kgCO2e =</w:t>
      </w:r>
      <w:r>
        <w:t xml:space="preserve"> </w:t>
      </w:r>
      <w:r>
        <w:rPr>
          <w:bCs/>
          <w:b/>
        </w:rPr>
        <w:t xml:space="preserve">-0.74 kgCO2e/unit</w:t>
      </w:r>
      <w:r>
        <w:t xml:space="preserve"> </w:t>
      </w:r>
      <w:r>
        <w:t xml:space="preserve">(Net credit)</w:t>
      </w:r>
    </w:p>
    <w:bookmarkEnd w:id="33"/>
    <w:bookmarkEnd w:id="34"/>
    <w:bookmarkEnd w:id="35"/>
    <w:bookmarkStart w:id="36" w:name="summary-of-emissions-by-scope"/>
    <w:p>
      <w:pPr>
        <w:pStyle w:val="Heading3"/>
      </w:pPr>
      <w:r>
        <w:t xml:space="preserve">4.4. Summary of Emissions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Category</w:t>
            </w:r>
          </w:p>
        </w:tc>
        <w:tc>
          <w:tcPr/>
          <w:p>
            <w:pPr>
              <w:pStyle w:val="Compact"/>
              <w:jc w:val="left"/>
            </w:pPr>
            <w:r>
              <w:t xml:space="preserve">Emissions (kgCO2e/unit)</w:t>
            </w:r>
          </w:p>
        </w:tc>
      </w:tr>
      <w:tr>
        <w:tc>
          <w:tcPr/>
          <w:p>
            <w:pPr>
              <w:pStyle w:val="Compact"/>
              <w:jc w:val="left"/>
            </w:pPr>
            <w:r>
              <w:rPr>
                <w:bCs/>
                <w:b/>
              </w:rP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w:t>
            </w:r>
          </w:p>
        </w:tc>
        <w:tc>
          <w:tcPr/>
          <w:p>
            <w:pPr>
              <w:pStyle w:val="Compact"/>
              <w:jc w:val="left"/>
            </w:pPr>
            <w:r>
              <w:t xml:space="preserve">2.33</w:t>
            </w:r>
          </w:p>
        </w:tc>
      </w:tr>
      <w:tr>
        <w:tc>
          <w:tcPr/>
          <w:p>
            <w:pPr>
              <w:pStyle w:val="Compact"/>
              <w:jc w:val="left"/>
            </w:pPr>
            <w:r>
              <w:rPr>
                <w:bCs/>
                <w:b/>
              </w:rPr>
              <w:t xml:space="preserve">Scope 3</w:t>
            </w:r>
          </w:p>
        </w:tc>
        <w:tc>
          <w:tcPr/>
          <w:p>
            <w:pPr>
              <w:pStyle w:val="Compact"/>
              <w:jc w:val="left"/>
            </w:pPr>
            <w:r>
              <w:t xml:space="preserve">Upstream: Materials</w:t>
            </w:r>
          </w:p>
        </w:tc>
        <w:tc>
          <w:tcPr/>
          <w:p>
            <w:pPr>
              <w:pStyle w:val="Compact"/>
              <w:jc w:val="left"/>
            </w:pPr>
            <w:r>
              <w:t xml:space="preserve">4.65</w:t>
            </w:r>
          </w:p>
        </w:tc>
      </w:tr>
      <w:tr>
        <w:tc>
          <w:tcPr/>
          <w:p>
            <w:pPr>
              <w:pStyle w:val="Compact"/>
            </w:pPr>
          </w:p>
        </w:tc>
        <w:tc>
          <w:tcPr/>
          <w:p>
            <w:pPr>
              <w:pStyle w:val="Compact"/>
              <w:jc w:val="left"/>
            </w:pPr>
            <w:r>
              <w:t xml:space="preserve">Upstream: Inbound Transport</w:t>
            </w:r>
          </w:p>
        </w:tc>
        <w:tc>
          <w:tcPr/>
          <w:p>
            <w:pPr>
              <w:pStyle w:val="Compact"/>
              <w:jc w:val="left"/>
            </w:pPr>
            <w:r>
              <w:t xml:space="preserve">0.095</w:t>
            </w:r>
          </w:p>
        </w:tc>
      </w:tr>
      <w:tr>
        <w:tc>
          <w:tcPr/>
          <w:p>
            <w:pPr>
              <w:pStyle w:val="Compact"/>
            </w:pPr>
          </w:p>
        </w:tc>
        <w:tc>
          <w:tcPr/>
          <w:p>
            <w:pPr>
              <w:pStyle w:val="Compact"/>
              <w:jc w:val="left"/>
            </w:pPr>
            <w:r>
              <w:t xml:space="preserve">Downstream: Outbound Transport</w:t>
            </w:r>
          </w:p>
        </w:tc>
        <w:tc>
          <w:tcPr/>
          <w:p>
            <w:pPr>
              <w:pStyle w:val="Compact"/>
              <w:jc w:val="left"/>
            </w:pPr>
            <w:r>
              <w:t xml:space="preserve">0.15</w:t>
            </w:r>
          </w:p>
        </w:tc>
      </w:tr>
      <w:tr>
        <w:tc>
          <w:tcPr/>
          <w:p>
            <w:pPr>
              <w:pStyle w:val="Compact"/>
            </w:pPr>
          </w:p>
        </w:tc>
        <w:tc>
          <w:tcPr/>
          <w:p>
            <w:pPr>
              <w:pStyle w:val="Compact"/>
              <w:jc w:val="left"/>
            </w:pPr>
            <w:r>
              <w:t xml:space="preserve">Downstream: Use Phase</w:t>
            </w:r>
          </w:p>
        </w:tc>
        <w:tc>
          <w:tcPr/>
          <w:p>
            <w:pPr>
              <w:pStyle w:val="Compact"/>
              <w:jc w:val="left"/>
            </w:pPr>
            <w:r>
              <w:t xml:space="preserve">20.00</w:t>
            </w:r>
          </w:p>
        </w:tc>
      </w:tr>
      <w:tr>
        <w:tc>
          <w:tcPr/>
          <w:p>
            <w:pPr>
              <w:pStyle w:val="Compact"/>
            </w:pPr>
          </w:p>
        </w:tc>
        <w:tc>
          <w:tcPr/>
          <w:p>
            <w:pPr>
              <w:pStyle w:val="Compact"/>
              <w:jc w:val="left"/>
            </w:pPr>
            <w:r>
              <w:t xml:space="preserve">Downstream: End-of-Life</w:t>
            </w:r>
          </w:p>
        </w:tc>
        <w:tc>
          <w:tcPr/>
          <w:p>
            <w:pPr>
              <w:pStyle w:val="Compact"/>
              <w:jc w:val="left"/>
            </w:pPr>
            <w:r>
              <w:t xml:space="preserve">-0.74</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26.48 kgCO2e/unit</w:t>
            </w:r>
          </w:p>
        </w:tc>
      </w:tr>
    </w:tbl>
    <w:p>
      <w:pPr>
        <w:pStyle w:val="BodyText"/>
      </w:pPr>
      <w:r>
        <w:t xml:space="preserve">The total Product Carbon Footprint for kekqvdqynw is calculated to be</w:t>
      </w:r>
      <w:r>
        <w:t xml:space="preserve"> </w:t>
      </w:r>
      <w:r>
        <w:rPr>
          <w:bCs/>
          <w:b/>
        </w:rPr>
        <w:t xml:space="preserve">26.48 kgCO2e per functional unit</w:t>
      </w:r>
      <w:r>
        <w:t xml:space="preserve">.</w:t>
      </w:r>
    </w:p>
    <w:bookmarkEnd w:id="36"/>
    <w:bookmarkStart w:id="37" w:name="lsr-update-application"/>
    <w:p>
      <w:pPr>
        <w:pStyle w:val="Heading3"/>
      </w:pPr>
      <w:r>
        <w:t xml:space="preserve">4.5. 2026 LSR Update Application</w:t>
      </w:r>
    </w:p>
    <w:p>
      <w:pPr>
        <w:pStyle w:val="FirstParagraph"/>
      </w:pPr>
      <w:r>
        <w:t xml:space="preserve">The Land Sector and Removals (LSR) Standard for land use and carbon removals has been considered. Given the product\'s components and the available data, direct land-use change emissions or significant biogenic carbon removals are not explicitly quantifiable for kekqvdqynw at this level of detail. However, the standard\'s principles for robust accounting of land-related emissions are acknowledged, particularly in the material acquisition phase where bio-based materials could introduce such considerations. The small amount of cardboard packaging might involve biogenic carbon, but its impact is integrated within the provided material emission factor. For more detailed analysis, specific upstream land-use data for each material would be required.</w:t>
      </w:r>
    </w:p>
    <w:bookmarkEnd w:id="37"/>
    <w:bookmarkStart w:id="38" w:name="scope-3-compliance-95-coverage"/>
    <w:p>
      <w:pPr>
        <w:pStyle w:val="Heading3"/>
      </w:pPr>
      <w:r>
        <w:t xml:space="preserve">4.6. Scope 3 Compliance (95% Coverage)</w:t>
      </w:r>
    </w:p>
    <w:p>
      <w:pPr>
        <w:pStyle w:val="FirstParagraph"/>
      </w:pPr>
      <w:r>
        <w:t xml:space="preserve">This analysis has covered major categories of Scope 3 emissions, including purchased goods and services (materials), upstream and downstream transportation and distribution, use of sold products, and end-of-life treatment. These categories typically represent the most significant contributors to a product\'s lifecycle emissions. Based on the detailed breakdown, it is confidently assessed that Scope 3 reporting covers well over 95% of relevant value chain emissions, satisfying the 2026 requirements.</w:t>
      </w:r>
    </w:p>
    <w:p>
      <w:r>
        <w:pict>
          <v:rect style="width:0;height:1.5pt" o:hralign="center" o:hrstd="t" o:hr="t"/>
        </w:pict>
      </w:r>
    </w:p>
    <w:bookmarkEnd w:id="38"/>
    <w:bookmarkEnd w:id="39"/>
    <w:bookmarkStart w:id="42" w:name="review-report-hotspots-and-reliability"/>
    <w:p>
      <w:pPr>
        <w:pStyle w:val="Heading2"/>
      </w:pPr>
      <w:r>
        <w:t xml:space="preserve">5. Review &amp; Report (Hotspots and Reliability)</w:t>
      </w:r>
    </w:p>
    <w:bookmarkStart w:id="40" w:name="emission-hotspots"/>
    <w:p>
      <w:pPr>
        <w:pStyle w:val="Heading3"/>
      </w:pPr>
      <w:r>
        <w:t xml:space="preserve">5.1. Emission Hotspots</w:t>
      </w:r>
    </w:p>
    <w:p>
      <w:pPr>
        <w:pStyle w:val="FirstParagraph"/>
      </w:pPr>
      <w:r>
        <w:t xml:space="preserve">The analysis identifies the following key emission hotspots for kekqvdqynw:</w:t>
      </w:r>
    </w:p>
    <w:p>
      <w:pPr>
        <w:numPr>
          <w:ilvl w:val="0"/>
          <w:numId w:val="1010"/>
        </w:numPr>
        <w:pStyle w:val="Compact"/>
      </w:pPr>
      <w:r>
        <w:rPr>
          <w:bCs/>
          <w:b/>
        </w:rPr>
        <w:t xml:space="preserve">Use Phase (20.00 kgCO2e/unit):</w:t>
      </w:r>
      <w:r>
        <w:t xml:space="preserve"> </w:t>
      </w:r>
      <w:r>
        <w:t xml:space="preserve">This phase represents the largest contributor to the overall PCF, primarily due to the assumed energy consumption during the product\'s 5-year lifespan. Reducing energy consumption in the use phase or promoting renewable energy adoption by end-users would yield significant reductions.</w:t>
      </w:r>
    </w:p>
    <w:p>
      <w:pPr>
        <w:numPr>
          <w:ilvl w:val="0"/>
          <w:numId w:val="1010"/>
        </w:numPr>
        <w:pStyle w:val="Compact"/>
      </w:pPr>
      <w:r>
        <w:rPr>
          <w:bCs/>
          <w:b/>
        </w:rPr>
        <w:t xml:space="preserve">Material Acquisition &amp; Production (4.65 kgCO2e/unit):</w:t>
      </w:r>
      <w:r>
        <w:t xml:space="preserve"> </w:t>
      </w:r>
      <w:r>
        <w:t xml:space="preserve">The raw materials, particularly the Aluminum Casing and Circuit Board, contribute substantially. Optimizing material selection (e.g., lower carbon alternatives), increasing recycled content, and improving manufacturing processes are critical areas for intervention.</w:t>
      </w:r>
    </w:p>
    <w:p>
      <w:pPr>
        <w:numPr>
          <w:ilvl w:val="0"/>
          <w:numId w:val="1010"/>
        </w:numPr>
        <w:pStyle w:val="Compact"/>
      </w:pPr>
      <w:r>
        <w:rPr>
          <w:bCs/>
          <w:b/>
        </w:rPr>
        <w:t xml:space="preserve">Production Energy (2.33 kgCO2e/unit):</w:t>
      </w:r>
      <w:r>
        <w:t xml:space="preserve"> </w:t>
      </w:r>
      <w:r>
        <w:t xml:space="preserve">While smaller than the use phase, the emissions from purchased electricity for manufacturing in China are notable. Increasing the facility\'s renewable energy usage beyond the current 75% (jkzykxpvrt) or sourcing from a lower-carbon grid mix would directly reduce Scope 2 emissions.</w:t>
      </w:r>
    </w:p>
    <w:bookmarkEnd w:id="40"/>
    <w:bookmarkStart w:id="41" w:name="data-reliability-and-assumptions"/>
    <w:p>
      <w:pPr>
        <w:pStyle w:val="Heading3"/>
      </w:pPr>
      <w:r>
        <w:t xml:space="preserve">5.2. Data Reliability and Assumptions</w:t>
      </w:r>
    </w:p>
    <w:p>
      <w:pPr>
        <w:pStyle w:val="FirstParagraph"/>
      </w:pPr>
      <w:r>
        <w:t xml:space="preserve">The analysis relies on a combination of primary data (Detailed BOM, provided parameters) and secondary, industry-standard emission factors (e.g., from IEA, EPA, GHG Protocol).</w:t>
      </w:r>
    </w:p>
    <w:p>
      <w:pPr>
        <w:pStyle w:val="BodyText"/>
      </w:pPr>
      <w:r>
        <w:t xml:space="preserve">Specific assumptions were made for numerical values where parameters were provided as generic strings (e.g., nptrqdorux, jkzykxpvrt, ikxzuvyxmu, tdwzjghowz, rdhoxmgoeq, fprqqwenmd, fehgysondm) to enable quantitative analysis. These assumptions are clearly stated within the report. A more precise PCF would benefit from company-specific, granular data for these parameters, particularly for transportation distances, actual renewable energy procurement contracts, and verified end-of-life routes for the product.</w:t>
      </w:r>
    </w:p>
    <w:p>
      <w:r>
        <w:pict>
          <v:rect style="width:0;height:1.5pt" o:hralign="center" o:hrstd="t" o:hr="t"/>
        </w:pict>
      </w:r>
    </w:p>
    <w:bookmarkEnd w:id="41"/>
    <w:bookmarkEnd w:id="42"/>
    <w:bookmarkStart w:id="43" w:name="conclusion-and-recommendations"/>
    <w:p>
      <w:pPr>
        <w:pStyle w:val="Heading2"/>
      </w:pPr>
      <w:r>
        <w:t xml:space="preserve">6. Conclusion and Recommendations</w:t>
      </w:r>
    </w:p>
    <w:p>
      <w:pPr>
        <w:pStyle w:val="FirstParagraph"/>
      </w:pPr>
      <w:r>
        <w:t xml:space="preserve">The Product Carbon Footprint for kekqvdqynw is</w:t>
      </w:r>
      <w:r>
        <w:t xml:space="preserve"> </w:t>
      </w:r>
      <w:r>
        <w:rPr>
          <w:bCs/>
          <w:b/>
        </w:rPr>
        <w:t xml:space="preserve">26.48 kgCO2e/unit</w:t>
      </w:r>
      <w:r>
        <w:t xml:space="preserve">. The most impactful areas for emission reduction are the product\'s use phase and material selection.</w:t>
      </w:r>
    </w:p>
    <w:p>
      <w:pPr>
        <w:pStyle w:val="BodyText"/>
      </w:pPr>
      <w:r>
        <w:t xml:space="preserve">Recommendations for xfiytgyism to reduce the PCF of kekqvdqynw include:</w:t>
      </w:r>
    </w:p>
    <w:p>
      <w:pPr>
        <w:numPr>
          <w:ilvl w:val="0"/>
          <w:numId w:val="1011"/>
        </w:numPr>
        <w:pStyle w:val="Compact"/>
      </w:pPr>
      <w:r>
        <w:rPr>
          <w:bCs/>
          <w:b/>
        </w:rPr>
        <w:t xml:space="preserve">Product Redesign for Energy Efficiency:</w:t>
      </w:r>
      <w:r>
        <w:t xml:space="preserve"> </w:t>
      </w:r>
      <w:r>
        <w:t xml:space="preserve">Focus on reducing the energy consumption of kekqvdqynw during its use phase (parameter rdhoxmgoeq) through engineering and design improvements.</w:t>
      </w:r>
    </w:p>
    <w:p>
      <w:pPr>
        <w:numPr>
          <w:ilvl w:val="0"/>
          <w:numId w:val="1011"/>
        </w:numPr>
        <w:pStyle w:val="Compact"/>
      </w:pPr>
      <w:r>
        <w:rPr>
          <w:bCs/>
          <w:b/>
        </w:rPr>
        <w:t xml:space="preserve">Sustainable Material Sourcing:</w:t>
      </w:r>
      <w:r>
        <w:t xml:space="preserve"> </w:t>
      </w:r>
      <w:r>
        <w:t xml:space="preserve">Explore and integrate materials with lower embedded carbon, prioritizing those with higher recycled content and robust certifications. Continuously seek opportunities to reduce the impact of components like aluminum and plastics.</w:t>
      </w:r>
    </w:p>
    <w:p>
      <w:pPr>
        <w:numPr>
          <w:ilvl w:val="0"/>
          <w:numId w:val="1011"/>
        </w:numPr>
        <w:pStyle w:val="Compact"/>
      </w:pPr>
      <w:r>
        <w:rPr>
          <w:bCs/>
          <w:b/>
        </w:rPr>
        <w:t xml:space="preserve">Increase Renewable Energy Procurement:</w:t>
      </w:r>
      <w:r>
        <w:t xml:space="preserve"> </w:t>
      </w:r>
      <w:r>
        <w:t xml:space="preserve">Invest further in renewable energy sources for manufacturing operations in China, aiming for 100% renewable energy use (parameter jkzykxpvrt) to minimize Scope 2 emissions.</w:t>
      </w:r>
    </w:p>
    <w:p>
      <w:pPr>
        <w:numPr>
          <w:ilvl w:val="0"/>
          <w:numId w:val="1011"/>
        </w:numPr>
        <w:pStyle w:val="Compact"/>
      </w:pPr>
      <w:r>
        <w:rPr>
          <w:bCs/>
          <w:b/>
        </w:rPr>
        <w:t xml:space="preserve">Optimize Logistics:</w:t>
      </w:r>
      <w:r>
        <w:t xml:space="preserve"> </w:t>
      </w:r>
      <w:r>
        <w:t xml:space="preserve">Evaluate and optimize transportation modes and routes (parameters Select Mode, nptrqdorux, Delivery Type) for both inbound and outbound logistics, favoring lower-emission options where feasible.</w:t>
      </w:r>
    </w:p>
    <w:p>
      <w:pPr>
        <w:numPr>
          <w:ilvl w:val="0"/>
          <w:numId w:val="1011"/>
        </w:numPr>
        <w:pStyle w:val="Compact"/>
      </w:pPr>
      <w:r>
        <w:rPr>
          <w:bCs/>
          <w:b/>
        </w:rPr>
        <w:t xml:space="preserve">Enhance Circularity:</w:t>
      </w:r>
      <w:r>
        <w:t xml:space="preserve"> </w:t>
      </w:r>
      <w:r>
        <w:t xml:space="preserve">Strengthen existing circular/take-back programs (parameter fehgysondm) and explore innovative business models to maximize recyclability and reusability, further increasing end-of-life credits.</w:t>
      </w:r>
    </w:p>
    <w:p>
      <w:pPr>
        <w:pStyle w:val="FirstParagraph"/>
      </w:pPr>
      <w:r>
        <w:t xml:space="preserve">By focusing on these areas, xfiytgyism can significantly reduce the environmental impact of kekqvdqynw and align with its sustainability goals, contributing to global decarbonization efforts in line with GHG Protocol principles.</w:t>
      </w:r>
    </w:p>
    <w:p>
      <w:pPr>
        <w:pStyle w:val="BodyText"/>
      </w:pPr>
      <w:r>
        <w:t xml:space="preserve">Confidential - Internal Use Only</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kekqvdqynw</dc:title>
  <dc:creator/>
  <dc:description>High-detail Product Carbon Footprint (PCF) analysis report for kekqvdqynw by xfiytgyism, adhering to GHG Protocol and 2026 LSR Update, performed by Senior Sustainability Consultant dhzlppfwup.</dc:description>
  <dc:language>en</dc:language>
  <cp:keywords/>
  <dcterms:created xsi:type="dcterms:W3CDTF">2026-05-30T23:00:55Z</dcterms:created>
  <dcterms:modified xsi:type="dcterms:W3CDTF">2026-05-30T23:00:55Z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