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kdpgfhkyvf</w:t>
      </w:r>
      <w:r>
        <w:t xml:space="preserve"> </w:t>
      </w:r>
      <w:r>
        <w:t xml:space="preserve">(Smart</w:t>
      </w:r>
      <w:r>
        <w:t xml:space="preserve"> </w:t>
      </w:r>
      <w:r>
        <w:t xml:space="preserve">Widget</w:t>
      </w:r>
      <w:r>
        <w:t xml:space="preserve"> </w:t>
      </w:r>
      <w:r>
        <w:t xml:space="preserve">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kdpgfhkyvf-smart-widget-x"/>
    <w:p>
      <w:pPr>
        <w:pStyle w:val="Heading2"/>
      </w:pPr>
      <w:r>
        <w:t xml:space="preserve">Product: kdpgfhkyvf (Smart Widget X)</w:t>
      </w:r>
    </w:p>
    <w:p>
      <w:pPr>
        <w:pStyle w:val="FirstParagraph"/>
      </w:pPr>
      <w:r>
        <w:t xml:space="preserve">**Company Name:** kheupsnrve</w:t>
      </w:r>
    </w:p>
    <w:p>
      <w:pPr>
        <w:pStyle w:val="BodyText"/>
      </w:pPr>
      <w:r>
        <w:t xml:space="preserve">**Senior Sustainability Consultant:** iwvjplvyol</w:t>
      </w:r>
    </w:p>
    <w:p>
      <w:pPr>
        <w:pStyle w:val="BodyText"/>
      </w:pPr>
      <w:r>
        <w:t xml:space="preserve">**Protocol Data (Accounting Standard):** GHG Protocol</w:t>
      </w:r>
    </w:p>
    <w:p>
      <w:pPr>
        <w:pStyle w:val="BodyText"/>
      </w:pPr>
      <w:r>
        <w:t xml:space="preserve">Disclaimer: This report is generated based on available data, provided parameters, and industry standards. While every effort has been made to ensure accuracy, the actual carbon footprint may vary depending on data precision, specific operational details, and evolving methodologies. This analysis serves as a comprehensive estimate for internal strategic planning and sustainability reporting.</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kdpgfhkyvf (Smart Widget X)</w:t>
      </w:r>
    </w:p>
    <w:p>
      <w:pPr>
        <w:pStyle w:val="BodyText"/>
      </w:pPr>
      <w:r>
        <w:rPr>
          <w:bCs/>
          <w:b/>
        </w:rPr>
        <w:t xml:space="preserve">Company:</w:t>
      </w:r>
      <w:r>
        <w:t xml:space="preserve"> </w:t>
      </w:r>
      <w:r>
        <w:t xml:space="preserve">kheupsnrve</w:t>
      </w:r>
    </w:p>
    <w:p>
      <w:pPr>
        <w:pStyle w:val="BodyText"/>
      </w:pPr>
      <w:r>
        <w:rPr>
          <w:bCs/>
          <w:b/>
        </w:rPr>
        <w:t xml:space="preserve">Generated Date:</w:t>
      </w:r>
      <w:r>
        <w:t xml:space="preserve"> </w:t>
      </w:r>
      <w:r>
        <w:t xml:space="preserve">June 1, 2026</w:t>
      </w:r>
    </w:p>
    <w:p>
      <w:pPr>
        <w:pStyle w:val="BodyText"/>
      </w:pPr>
      <w:r>
        <w:rPr>
          <w:bCs/>
          <w:b/>
        </w:rPr>
        <w:t xml:space="preserve">Senior Sustainability Consultant:</w:t>
      </w:r>
      <w:r>
        <w:t xml:space="preserve"> </w:t>
      </w:r>
      <w:r>
        <w:t xml:space="preserve">iwvjplvyol</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kheupsnrve\'s product, kdpgfhkyvf (Smart Widget X), prepared by Senior Sustainability Consultant iwvjplvyol. The analysis adheres strictly to the GHG Protocol and incorporates the 2026 Land Sector and Removals (LSR) Standard for enhanced accuracy in land use and carbon removals. The objective is to quantify the greenhouse gas emissions associated with the entire lifecycle of one functional unit of kdpgfhkyvf, from raw material extraction to end-of-life. Key hotspots are identified, and recommendations for emission reduction are provided to support kheupsnrve\'s sustainability initiatives and ensure compliance with evolving reporting requirements, particularly the 95% Scope 3 coverage target.</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PCF analysis is defined as: **1.0 unit of kdpgfhkyvf (Smart Widget X)**. This unit serves as the reference basis for quantifying all environmental inputs and outputs throughout the product\'s lifecycle.</w:t>
      </w:r>
    </w:p>
    <w:bookmarkEnd w:id="24"/>
    <w:bookmarkStart w:id="25" w:name="system-boundary"/>
    <w:p>
      <w:pPr>
        <w:pStyle w:val="Heading3"/>
      </w:pPr>
      <w:r>
        <w:t xml:space="preserve">System Boundary</w:t>
      </w:r>
    </w:p>
    <w:p>
      <w:pPr>
        <w:pStyle w:val="FirstParagraph"/>
      </w:pPr>
      <w:r>
        <w:t xml:space="preserve">The system boundary for this analysis is **"factory_gate"**. This "Cradle-to-Gate" assessment encompasses all stages from raw material acquisition, through manufacturing, to the point where the finished product leaves the factory gate. For a comprehensive understanding, the report also includes upstream supply chain, transport to customer, use phase, and end-of-life considerations, providing a holistic lifecycle view. Emissions are categorized into Scope 1 (direct), Scope 2 (purchased energy), and Scope 3 (value chain) as per GHG Protocol.</w:t>
      </w:r>
    </w:p>
    <w:bookmarkEnd w:id="25"/>
    <w:bookmarkStart w:id="26"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Accounting Standard</w:t>
      </w:r>
    </w:p>
    <w:p>
      <w:pPr>
        <w:pStyle w:val="FirstParagraph"/>
      </w:pPr>
      <w:r>
        <w:t xml:space="preserve">This Product Carbon Footprint analysis is conducted in strict accordance with the **GHG Protocol**. This includes adhering to the Product Life Cycle Accounting and Reporting Standard, and incorporating principles from the Corporate Standard for categorization of emissions. The analysis also applies the 2026 Land Sector and Removals (LSR) Standard, specifically considering any biogenic carbon impacts and land-use change relevant to the product\'s materials. Crucially, efforts have been made to ensure at least 95% coverage for Scope 3 reporting, as per the stringent 2026 requirements.</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The lifecycle of kdpgfhkyvf (Smart Widget X) has been mapped to include key stages: Material Acquisition &amp; Pre-processing, Manufacturing (Factory Operations), Transportation (from factory to customer), Use Phase, and End-of-Life. Data collection involved both primary data points (from kheupsnrve) and secondary data (industry-standard emission factors where primary data was unavailable).</w:t>
      </w:r>
    </w:p>
    <w:bookmarkStart w:id="29" w:name="X982c326fb93613d4d5b2ea0769a7e370cfc78fa"/>
    <w:p>
      <w:pPr>
        <w:pStyle w:val="Heading3"/>
      </w:pPr>
      <w:r>
        <w:t xml:space="preserve">Detailed Bill of Materials (BOM) &amp; Material Inputs</w:t>
      </w:r>
    </w:p>
    <w:p>
      <w:pPr>
        <w:pStyle w:val="FirstParagraph"/>
      </w:pPr>
      <w:r>
        <w:t xml:space="preserve">The following table details the Bill of Materials for one functional unit of kdpgfhkyvf, including specific emission factors and total carbon impact per material component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P001</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0.036</w:t>
            </w:r>
          </w:p>
        </w:tc>
      </w:tr>
    </w:tbl>
    <w:bookmarkEnd w:id="29"/>
    <w:bookmarkStart w:id="30" w:name="energy-inputs-manufacturing-phase"/>
    <w:p>
      <w:pPr>
        <w:pStyle w:val="Heading3"/>
      </w:pPr>
      <w:r>
        <w:t xml:space="preserve">Energy Inputs (Manufacturing Phase)</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Assumed Grid Emission Factor (China, for non-renewable portion):</w:t>
      </w:r>
      <w:r>
        <w:t xml:space="preserve"> </w:t>
      </w:r>
      <w:r>
        <w:t xml:space="preserve">0.6 kg CO2e/kWh (industry average estimate)</w:t>
      </w:r>
    </w:p>
    <w:p>
      <w:pPr>
        <w:numPr>
          <w:ilvl w:val="0"/>
          <w:numId w:val="1002"/>
        </w:numPr>
        <w:pStyle w:val="Compact"/>
      </w:pPr>
      <w:r>
        <w:rPr>
          <w:bCs/>
          <w:b/>
        </w:rPr>
        <w:t xml:space="preserve">Effective Emission Factor for Purchased Electricity:</w:t>
      </w:r>
      <w:r>
        <w:t xml:space="preserve"> </w:t>
      </w:r>
      <w:r>
        <w:t xml:space="preserve">0.6 kg CO2e/kWh * (1 - 0.60) = 0.24 kg CO2e/kWh</w:t>
      </w:r>
    </w:p>
    <w:bookmarkEnd w:id="30"/>
    <w:bookmarkStart w:id="31" w:name="X0964864ca2e80fdb0ba252faa17f4d3d1d315f7"/>
    <w:p>
      <w:pPr>
        <w:pStyle w:val="Heading3"/>
      </w:pPr>
      <w:r>
        <w:t xml:space="preserve">Logistics Data (Transport to Customer &amp; Last-Mile)</w:t>
      </w:r>
    </w:p>
    <w:p>
      <w:pPr>
        <w:numPr>
          <w:ilvl w:val="0"/>
          <w:numId w:val="1003"/>
        </w:numPr>
        <w:pStyle w:val="Compact"/>
      </w:pPr>
      <w:r>
        <w:rPr>
          <w:bCs/>
          <w:b/>
        </w:rPr>
        <w:t xml:space="preserve">Primary Transport Mode:</w:t>
      </w:r>
      <w:r>
        <w:t xml:space="preserve"> </w:t>
      </w:r>
      <w:r>
        <w:t xml:space="preserve">Ocean Freight (Container Ship)</w:t>
      </w:r>
    </w:p>
    <w:p>
      <w:pPr>
        <w:numPr>
          <w:ilvl w:val="0"/>
          <w:numId w:val="1003"/>
        </w:numPr>
        <w:pStyle w:val="Compact"/>
      </w:pPr>
      <w:r>
        <w:rPr>
          <w:bCs/>
          <w:b/>
        </w:rPr>
        <w:t xml:space="preserve">Primary Transport Distance:</w:t>
      </w:r>
      <w:r>
        <w:t xml:space="preserve"> </w:t>
      </w:r>
      <w:r>
        <w:t xml:space="preserve">12,000 km</w:t>
      </w:r>
    </w:p>
    <w:p>
      <w:pPr>
        <w:numPr>
          <w:ilvl w:val="0"/>
          <w:numId w:val="1003"/>
        </w:numPr>
        <w:pStyle w:val="Compact"/>
      </w:pPr>
      <w:r>
        <w:rPr>
          <w:bCs/>
          <w:b/>
        </w:rPr>
        <w:t xml:space="preserve">Product Weight (for transport calculation, estimated with packaging):</w:t>
      </w:r>
      <w:r>
        <w:t xml:space="preserve"> </w:t>
      </w:r>
      <w:r>
        <w:t xml:space="preserve">1.0 kg/unit</w:t>
      </w:r>
    </w:p>
    <w:p>
      <w:pPr>
        <w:numPr>
          <w:ilvl w:val="0"/>
          <w:numId w:val="1003"/>
        </w:numPr>
        <w:pStyle w:val="Compact"/>
      </w:pPr>
      <w:r>
        <w:rPr>
          <w:bCs/>
          <w:b/>
        </w:rPr>
        <w:t xml:space="preserve">Assumed Ocean Freight Emission Factor:</w:t>
      </w:r>
      <w:r>
        <w:t xml:space="preserve"> </w:t>
      </w:r>
      <w:r>
        <w:t xml:space="preserve">0.01 kg CO2e/tonne-km (industry average estimate)</w:t>
      </w:r>
    </w:p>
    <w:p>
      <w:pPr>
        <w:numPr>
          <w:ilvl w:val="0"/>
          <w:numId w:val="1003"/>
        </w:numPr>
        <w:pStyle w:val="Compact"/>
      </w:pPr>
      <w:r>
        <w:rPr>
          <w:bCs/>
          <w:b/>
        </w:rPr>
        <w:t xml:space="preserve">Last-Mile Delivery Channel:</w:t>
      </w:r>
      <w:r>
        <w:t xml:space="preserve"> </w:t>
      </w:r>
      <w:r>
        <w:t xml:space="preserve">Diesel Van</w:t>
      </w:r>
    </w:p>
    <w:p>
      <w:pPr>
        <w:numPr>
          <w:ilvl w:val="0"/>
          <w:numId w:val="1003"/>
        </w:numPr>
        <w:pStyle w:val="Compact"/>
      </w:pPr>
      <w:r>
        <w:rPr>
          <w:bCs/>
          <w:b/>
        </w:rPr>
        <w:t xml:space="preserve">Assumed Last-Mile Delivery Distance:</w:t>
      </w:r>
      <w:r>
        <w:t xml:space="preserve"> </w:t>
      </w:r>
      <w:r>
        <w:t xml:space="preserve">50 km</w:t>
      </w:r>
    </w:p>
    <w:p>
      <w:pPr>
        <w:numPr>
          <w:ilvl w:val="0"/>
          <w:numId w:val="1003"/>
        </w:numPr>
        <w:pStyle w:val="Compact"/>
      </w:pPr>
      <w:r>
        <w:rPr>
          <w:bCs/>
          <w:b/>
        </w:rPr>
        <w:t xml:space="preserve">Assumed Diesel Van Emission Factor:</w:t>
      </w:r>
      <w:r>
        <w:t xml:space="preserve"> </w:t>
      </w:r>
      <w:r>
        <w:t xml:space="preserve">0.15 kg CO2e/tonne-km (industry average estimate)</w:t>
      </w:r>
    </w:p>
    <w:bookmarkEnd w:id="31"/>
    <w:bookmarkStart w:id="32"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3 years</w:t>
      </w:r>
    </w:p>
    <w:p>
      <w:pPr>
        <w:numPr>
          <w:ilvl w:val="0"/>
          <w:numId w:val="1004"/>
        </w:numPr>
        <w:pStyle w:val="Compact"/>
      </w:pPr>
      <w:r>
        <w:rPr>
          <w:bCs/>
          <w:b/>
        </w:rPr>
        <w:t xml:space="preserve">Energy Consumption in Use:</w:t>
      </w:r>
      <w:r>
        <w:t xml:space="preserve"> </w:t>
      </w:r>
      <w:r>
        <w:t xml:space="preserve">5 kWh/year</w:t>
      </w:r>
    </w:p>
    <w:p>
      <w:pPr>
        <w:numPr>
          <w:ilvl w:val="0"/>
          <w:numId w:val="1004"/>
        </w:numPr>
        <w:pStyle w:val="Compact"/>
      </w:pPr>
      <w:r>
        <w:rPr>
          <w:bCs/>
          <w:b/>
        </w:rPr>
        <w:t xml:space="preserve">Assumed Average Electricity Grid Emission Factor (User Location, Europe Focused):</w:t>
      </w:r>
      <w:r>
        <w:t xml:space="preserve"> </w:t>
      </w:r>
      <w:r>
        <w:t xml:space="preserve">0.25 kg CO2e/kWh (industry average estimate)</w:t>
      </w:r>
    </w:p>
    <w:bookmarkEnd w:id="32"/>
    <w:bookmarkStart w:id="33"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Yes, assumed to facilitate recycling and material recovery, leading to a 15% reduction in potential waste treatment emissions for recoverable materials.</w:t>
      </w:r>
    </w:p>
    <w:p>
      <w:pPr>
        <w:numPr>
          <w:ilvl w:val="0"/>
          <w:numId w:val="1005"/>
        </w:numPr>
        <w:pStyle w:val="Compact"/>
      </w:pPr>
      <w:r>
        <w:rPr>
          <w:bCs/>
          <w:b/>
        </w:rPr>
        <w:t xml:space="preserve">Assumed Waste Treatment Emission Factor (Non-Recycled/Landfill):</w:t>
      </w:r>
      <w:r>
        <w:t xml:space="preserve"> </w:t>
      </w:r>
      <w:r>
        <w:t xml:space="preserve">1.0 kg CO2e/kg (for non-recyclable portion)</w:t>
      </w:r>
    </w:p>
    <w:p>
      <w:r>
        <w:pict>
          <v:rect style="width:0;height:1.5pt" o:hralign="center" o:hrstd="t" o:hr="t"/>
        </w:pict>
      </w:r>
    </w:p>
    <w:bookmarkEnd w:id="33"/>
    <w:bookmarkEnd w:id="34"/>
    <w:bookmarkStart w:id="53" w:name="calculate-emissions"/>
    <w:p>
      <w:pPr>
        <w:pStyle w:val="Heading2"/>
      </w:pPr>
      <w:r>
        <w:t xml:space="preserve">4. Calculate Emissions</w:t>
      </w:r>
    </w:p>
    <w:p>
      <w:pPr>
        <w:pStyle w:val="FirstParagraph"/>
      </w:pPr>
      <w:r>
        <w:t xml:space="preserve">Emissions for each lifecycle stage are calculated using the formula: Activity Data × Emission Factor = CO2e. All calculations are performed in accordance with the GHG Protocol, distinguishing between Scope 1, Scope 2, and Scope 3 emissions. The 2026 LSR Standard is considered, particularly for any biogenic carbon accounting, though direct biogenic emissions are not predominant for this product\'s material mix.</w:t>
      </w:r>
    </w:p>
    <w:bookmarkStart w:id="35"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GHG Scope</w:t>
            </w:r>
          </w:p>
        </w:tc>
        <w:tc>
          <w:tcPr/>
          <w:p>
            <w:pPr>
              <w:pStyle w:val="Compact"/>
              <w:jc w:val="left"/>
            </w:pPr>
            <w:r>
              <w:t xml:space="preserve">Calculated Emissions (kg CO2e/unit)</w:t>
            </w:r>
          </w:p>
        </w:tc>
      </w:tr>
      <w:tr>
        <w:tc>
          <w:tcPr/>
          <w:p>
            <w:pPr>
              <w:pStyle w:val="Compact"/>
              <w:jc w:val="left"/>
            </w:pPr>
            <w:r>
              <w:rPr>
                <w:bCs/>
                <w:b/>
              </w:rPr>
              <w:t xml:space="preserve">Materials Acquisition &amp; Pre-processing</w:t>
            </w:r>
          </w:p>
        </w:tc>
        <w:tc>
          <w:tcPr/>
          <w:p>
            <w:pPr>
              <w:pStyle w:val="Compact"/>
              <w:jc w:val="left"/>
            </w:pPr>
            <w:r>
              <w:t xml:space="preserve">Emissions from raw material extraction and production (e.g., mining, chemical processing, initial manufacturing of components).</w:t>
            </w:r>
          </w:p>
        </w:tc>
        <w:tc>
          <w:tcPr/>
          <w:p>
            <w:pPr>
              <w:pStyle w:val="Compact"/>
              <w:jc w:val="left"/>
            </w:pPr>
            <w:r>
              <w:t xml:space="preserve">Scope 3 (Upstream)</w:t>
            </w:r>
          </w:p>
        </w:tc>
        <w:tc>
          <w:tcPr/>
          <w:p>
            <w:pPr>
              <w:pStyle w:val="Compact"/>
            </w:pPr>
          </w:p>
        </w:tc>
      </w:tr>
      <w:tr>
        <w:tc>
          <w:tcPr/>
          <w:p>
            <w:pPr>
              <w:pStyle w:val="Compact"/>
              <w:jc w:val="left"/>
            </w:pPr>
            <w:r>
              <w:rPr>
                <w:bCs/>
                <w:b/>
              </w:rPr>
              <w:t xml:space="preserve">Manufacturing (Factory Operations)</w:t>
            </w:r>
          </w:p>
        </w:tc>
        <w:tc>
          <w:tcPr/>
          <w:p>
            <w:pPr>
              <w:pStyle w:val="Compact"/>
              <w:jc w:val="left"/>
            </w:pPr>
            <w:r>
              <w:t xml:space="preserve">Energy consumption at the production facility (electricity, direct fuel combustion).</w:t>
            </w:r>
          </w:p>
        </w:tc>
        <w:tc>
          <w:tcPr/>
          <w:p>
            <w:pPr>
              <w:pStyle w:val="Compact"/>
              <w:jc w:val="left"/>
            </w:pPr>
            <w:r>
              <w:t xml:space="preserve">Scope 1 &amp; 2</w:t>
            </w:r>
          </w:p>
        </w:tc>
        <w:tc>
          <w:tcPr/>
          <w:p>
            <w:pPr>
              <w:pStyle w:val="Compact"/>
            </w:pPr>
          </w:p>
        </w:tc>
      </w:tr>
      <w:tr>
        <w:tc>
          <w:tcPr/>
          <w:p>
            <w:pPr>
              <w:pStyle w:val="Compact"/>
              <w:jc w:val="left"/>
            </w:pPr>
            <w:r>
              <w:rPr>
                <w:bCs/>
                <w:b/>
              </w:rPr>
              <w:t xml:space="preserve">Transportation (Factory to Customer)</w:t>
            </w:r>
          </w:p>
        </w:tc>
        <w:tc>
          <w:tcPr/>
          <w:p>
            <w:pPr>
              <w:pStyle w:val="Compact"/>
              <w:jc w:val="left"/>
            </w:pPr>
            <w:r>
              <w:t xml:space="preserve">Emissions from shipping finished product via primary and last-mile transport.</w:t>
            </w:r>
          </w:p>
        </w:tc>
        <w:tc>
          <w:tcPr/>
          <w:p>
            <w:pPr>
              <w:pStyle w:val="Compact"/>
              <w:jc w:val="left"/>
            </w:pPr>
            <w:r>
              <w:t xml:space="preserve">Scope 3 (Downstream)</w:t>
            </w:r>
          </w:p>
        </w:tc>
        <w:tc>
          <w:tcPr/>
          <w:p>
            <w:pPr>
              <w:pStyle w:val="Compact"/>
            </w:pPr>
          </w:p>
        </w:tc>
      </w:tr>
      <w:tr>
        <w:tc>
          <w:tcPr/>
          <w:p>
            <w:pPr>
              <w:pStyle w:val="Compact"/>
              <w:jc w:val="left"/>
            </w:pPr>
            <w:r>
              <w:rPr>
                <w:bCs/>
                <w:b/>
              </w:rPr>
              <w:t xml:space="preserve">Use Phase</w:t>
            </w:r>
          </w:p>
        </w:tc>
        <w:tc>
          <w:tcPr/>
          <w:p>
            <w:pPr>
              <w:pStyle w:val="Compact"/>
              <w:jc w:val="left"/>
            </w:pPr>
            <w:r>
              <w:t xml:space="preserve">Energy consumption during the product\'s operational life.</w:t>
            </w:r>
          </w:p>
        </w:tc>
        <w:tc>
          <w:tcPr/>
          <w:p>
            <w:pPr>
              <w:pStyle w:val="Compact"/>
              <w:jc w:val="left"/>
            </w:pPr>
            <w:r>
              <w:t xml:space="preserve">Scope 3 (Downstream)</w:t>
            </w:r>
          </w:p>
        </w:tc>
        <w:tc>
          <w:tcPr/>
          <w:p>
            <w:pPr>
              <w:pStyle w:val="Compact"/>
            </w:pPr>
          </w:p>
        </w:tc>
      </w:tr>
      <w:tr>
        <w:tc>
          <w:tcPr/>
          <w:p>
            <w:pPr>
              <w:pStyle w:val="Compact"/>
              <w:jc w:val="left"/>
            </w:pPr>
            <w:r>
              <w:rPr>
                <w:bCs/>
                <w:b/>
              </w:rPr>
              <w:t xml:space="preserve">End-of-Life (EoL)</w:t>
            </w:r>
          </w:p>
        </w:tc>
        <w:tc>
          <w:tcPr/>
          <w:p>
            <w:pPr>
              <w:pStyle w:val="Compact"/>
              <w:jc w:val="left"/>
            </w:pPr>
            <w:r>
              <w:t xml:space="preserve">Emissions from waste treatment (recycling, landfill, incineration).</w:t>
            </w:r>
          </w:p>
        </w:tc>
        <w:tc>
          <w:tcPr/>
          <w:p>
            <w:pPr>
              <w:pStyle w:val="Compact"/>
              <w:jc w:val="left"/>
            </w:pPr>
            <w:r>
              <w:t xml:space="preserve">Scope 3 (Downstream)</w:t>
            </w:r>
          </w:p>
        </w:tc>
        <w:tc>
          <w:tcPr/>
          <w:p>
            <w:pPr>
              <w:pStyle w:val="Compact"/>
            </w:pPr>
          </w:p>
        </w:tc>
      </w:tr>
      <w:tr>
        <w:tc>
          <w:tcPr>
            <w:gridSpan w:val="3"/>
          </w:tcPr>
          <w:p>
            <w:pPr>
              <w:pStyle w:val="Compact"/>
              <w:jc w:val="left"/>
            </w:pPr>
            <w:r>
              <w:rPr>
                <w:bCs/>
                <w:b/>
              </w:rPr>
              <w:t xml:space="preserve">Total Product Carbon Footprint (kg CO2e/unit)</w:t>
            </w:r>
          </w:p>
        </w:tc>
        <w:tc>
          <w:tcPr/>
          <w:p>
            <w:pPr>
              <w:pStyle w:val="Compact"/>
            </w:pPr>
          </w:p>
        </w:tc>
      </w:tr>
    </w:tbl>
    <w:bookmarkEnd w:id="35"/>
    <w:bookmarkStart w:id="46" w:name="detailed-emission-calculations"/>
    <w:p>
      <w:pPr>
        <w:pStyle w:val="Heading3"/>
      </w:pPr>
      <w:r>
        <w:t xml:space="preserve">Detailed Emission Calculations</w:t>
      </w:r>
    </w:p>
    <w:bookmarkStart w:id="37" w:name="Xccf3e6bd2f25a7426acc7ca94192216cdcae6e8"/>
    <w:p>
      <w:pPr>
        <w:pStyle w:val="Heading4"/>
      </w:pPr>
      <w:r>
        <w:t xml:space="preserve">A. Materials Acquisition &amp; Pre-processing (Scope 3 - Upstream)</w:t>
      </w:r>
    </w:p>
    <w:p>
      <w:pPr>
        <w:pStyle w:val="FirstParagraph"/>
      </w:pPr>
      <w:r>
        <w:t xml:space="preserve">These emissions are derived directly from the provided Detailed Bill of Materials (BOM).</w:t>
      </w:r>
    </w:p>
    <w:p>
      <w:pPr>
        <w:pStyle w:val="BodyText"/>
      </w:pPr>
      <w:r>
        <w:t xml:space="preserve">Total Material Emissions:</w:t>
      </w:r>
      <w:r>
        <w:t xml:space="preserve"> </w:t>
      </w:r>
      <w:bookmarkStart w:id="36" w:name="materialEmissionsCalc"/>
      <w:bookmarkEnd w:id="36"/>
      <w:r>
        <w:t xml:space="preserve"> </w:t>
      </w:r>
      <w:r>
        <w:t xml:space="preserve">kg CO2e/unit.</w:t>
      </w:r>
    </w:p>
    <w:bookmarkEnd w:id="37"/>
    <w:bookmarkStart w:id="39" w:name="Xd4c43548014fb6c9c157a355c70004d86bf337c"/>
    <w:p>
      <w:pPr>
        <w:pStyle w:val="Heading4"/>
      </w:pPr>
      <w:r>
        <w:t xml:space="preserve">B. Manufacturing (Factory Operations) (Scope 1 &amp; Scope 2)</w:t>
      </w:r>
    </w:p>
    <w:p>
      <w:pPr>
        <w:numPr>
          <w:ilvl w:val="0"/>
          <w:numId w:val="1006"/>
        </w:numPr>
        <w:pStyle w:val="Compact"/>
      </w:pPr>
      <w:r>
        <w:t xml:space="preserve">Energy Intensity: 2.5 kWh/unit</w:t>
      </w:r>
    </w:p>
    <w:p>
      <w:pPr>
        <w:numPr>
          <w:ilvl w:val="0"/>
          <w:numId w:val="1006"/>
        </w:numPr>
        <w:pStyle w:val="Compact"/>
      </w:pPr>
      <w:r>
        <w:t xml:space="preserve">Renewable Energy Usage: 60%</w:t>
      </w:r>
    </w:p>
    <w:p>
      <w:pPr>
        <w:numPr>
          <w:ilvl w:val="0"/>
          <w:numId w:val="1006"/>
        </w:numPr>
        <w:pStyle w:val="Compact"/>
      </w:pPr>
      <w:r>
        <w:t xml:space="preserve">Non-Renewable Energy Usage: 40%</w:t>
      </w:r>
    </w:p>
    <w:p>
      <w:pPr>
        <w:numPr>
          <w:ilvl w:val="0"/>
          <w:numId w:val="1006"/>
        </w:numPr>
        <w:pStyle w:val="Compact"/>
      </w:pPr>
      <w:r>
        <w:t xml:space="preserve">Assumed Grid Emission Factor (China, for non-renewable portion): 0.6 kg CO2e/kWh</w:t>
      </w:r>
    </w:p>
    <w:p>
      <w:pPr>
        <w:numPr>
          <w:ilvl w:val="0"/>
          <w:numId w:val="1006"/>
        </w:numPr>
        <w:pStyle w:val="Compact"/>
      </w:pPr>
      <w:r>
        <w:t xml:space="preserve">Effective Emission Factor for Purchased Electricity: 0.6 kg CO2e/kWh * (1 - 0.60) = 0.24 kg CO2e/kWh</w:t>
      </w:r>
    </w:p>
    <w:p>
      <w:pPr>
        <w:numPr>
          <w:ilvl w:val="0"/>
          <w:numId w:val="1006"/>
        </w:numPr>
        <w:pStyle w:val="Compact"/>
      </w:pPr>
      <w:r>
        <w:rPr>
          <w:bCs/>
          <w:b/>
        </w:rPr>
        <w:t xml:space="preserve">Calculations:</w:t>
      </w:r>
    </w:p>
    <w:p>
      <w:pPr>
        <w:numPr>
          <w:ilvl w:val="0"/>
          <w:numId w:val="1006"/>
        </w:numPr>
        <w:pStyle w:val="Compact"/>
      </w:pPr>
    </w:p>
    <w:p>
      <w:pPr>
        <w:numPr>
          <w:ilvl w:val="1"/>
          <w:numId w:val="1007"/>
        </w:numPr>
        <w:pStyle w:val="Compact"/>
      </w:pPr>
      <w:r>
        <w:t xml:space="preserve">Energy for manufacturing = 2.5 kWh/unit</w:t>
      </w:r>
    </w:p>
    <w:p>
      <w:pPr>
        <w:numPr>
          <w:ilvl w:val="1"/>
          <w:numId w:val="1007"/>
        </w:numPr>
        <w:pStyle w:val="Compact"/>
      </w:pPr>
      <w:r>
        <w:t xml:space="preserve">Emissions from purchased electricity (Scope 2) = 2.5 kWh/unit * 0.24 kg CO2e/kWh = 0.6 kg CO2e/unit</w:t>
      </w:r>
    </w:p>
    <w:p>
      <w:pPr>
        <w:numPr>
          <w:ilvl w:val="1"/>
          <w:numId w:val="1007"/>
        </w:numPr>
        <w:pStyle w:val="Compact"/>
      </w:pPr>
      <w:r>
        <w:rPr>
          <w:iCs/>
          <w:i/>
        </w:rPr>
        <w:t xml:space="preserve">(Note: Assuming no direct fuel combustion (Scope 1) at the factory for this specific product\'s manufacturing beyond electricity. If present, it would be added here.)</w:t>
      </w:r>
    </w:p>
    <w:p>
      <w:pPr>
        <w:pStyle w:val="FirstParagraph"/>
      </w:pPr>
      <w:r>
        <w:t xml:space="preserve">Total Manufacturing Emissions (Scope 2):</w:t>
      </w:r>
      <w:r>
        <w:t xml:space="preserve"> </w:t>
      </w:r>
      <w:bookmarkStart w:id="38" w:name="manufacturingEmissionsCalc"/>
      <w:bookmarkEnd w:id="38"/>
      <w:r>
        <w:t xml:space="preserve"> </w:t>
      </w:r>
      <w:r>
        <w:t xml:space="preserve">kg CO2e/unit.</w:t>
      </w:r>
    </w:p>
    <w:bookmarkEnd w:id="39"/>
    <w:bookmarkStart w:id="41" w:name="X66624edead1c61e6d1430ca4482d7c5f58d6904"/>
    <w:p>
      <w:pPr>
        <w:pStyle w:val="Heading4"/>
      </w:pPr>
      <w:r>
        <w:t xml:space="preserve">C. Transportation (Factory to Customer) (Scope 3 - Downstream)</w:t>
      </w:r>
    </w:p>
    <w:p>
      <w:pPr>
        <w:numPr>
          <w:ilvl w:val="0"/>
          <w:numId w:val="1008"/>
        </w:numPr>
        <w:pStyle w:val="Compact"/>
      </w:pPr>
      <w:r>
        <w:t xml:space="preserve">Product Weight (estimated with packaging): 1.0 kg/unit (0.001 tonne/unit)</w:t>
      </w:r>
    </w:p>
    <w:p>
      <w:pPr>
        <w:numPr>
          <w:ilvl w:val="0"/>
          <w:numId w:val="1008"/>
        </w:numPr>
        <w:pStyle w:val="Compact"/>
      </w:pPr>
      <w:r>
        <w:rPr>
          <w:bCs/>
          <w:b/>
        </w:rPr>
        <w:t xml:space="preserve">Primary Transport (Ocean Freight):</w:t>
      </w:r>
    </w:p>
    <w:p>
      <w:pPr>
        <w:numPr>
          <w:ilvl w:val="0"/>
          <w:numId w:val="1008"/>
        </w:numPr>
        <w:pStyle w:val="Compact"/>
      </w:pPr>
    </w:p>
    <w:p>
      <w:pPr>
        <w:numPr>
          <w:ilvl w:val="1"/>
          <w:numId w:val="1009"/>
        </w:numPr>
        <w:pStyle w:val="Compact"/>
      </w:pPr>
      <w:r>
        <w:t xml:space="preserve">Distance: 12,000 km</w:t>
      </w:r>
    </w:p>
    <w:p>
      <w:pPr>
        <w:numPr>
          <w:ilvl w:val="1"/>
          <w:numId w:val="1009"/>
        </w:numPr>
        <w:pStyle w:val="Compact"/>
      </w:pPr>
      <w:r>
        <w:t xml:space="preserve">Emission Factor: 0.01 kg CO2e/tonne-km</w:t>
      </w:r>
    </w:p>
    <w:p>
      <w:pPr>
        <w:numPr>
          <w:ilvl w:val="1"/>
          <w:numId w:val="1009"/>
        </w:numPr>
        <w:pStyle w:val="Compact"/>
      </w:pPr>
      <w:r>
        <w:t xml:space="preserve">Emissions = 0.001 tonne/unit * 12,000 km * 0.01 kg CO2e/tonne-km = 0.12 kg CO2e/unit</w:t>
      </w:r>
    </w:p>
    <w:p>
      <w:pPr>
        <w:numPr>
          <w:ilvl w:val="0"/>
          <w:numId w:val="1008"/>
        </w:numPr>
        <w:pStyle w:val="Compact"/>
      </w:pPr>
      <w:r>
        <w:rPr>
          <w:bCs/>
          <w:b/>
        </w:rPr>
        <w:t xml:space="preserve">Last-Mile Delivery (Diesel Van):</w:t>
      </w:r>
    </w:p>
    <w:p>
      <w:pPr>
        <w:numPr>
          <w:ilvl w:val="0"/>
          <w:numId w:val="1008"/>
        </w:numPr>
        <w:pStyle w:val="Compact"/>
      </w:pPr>
    </w:p>
    <w:p>
      <w:pPr>
        <w:numPr>
          <w:ilvl w:val="1"/>
          <w:numId w:val="1010"/>
        </w:numPr>
        <w:pStyle w:val="Compact"/>
      </w:pPr>
      <w:r>
        <w:t xml:space="preserve">Distance: 50 km</w:t>
      </w:r>
    </w:p>
    <w:p>
      <w:pPr>
        <w:numPr>
          <w:ilvl w:val="1"/>
          <w:numId w:val="1010"/>
        </w:numPr>
        <w:pStyle w:val="Compact"/>
      </w:pPr>
      <w:r>
        <w:t xml:space="preserve">Emission Factor: 0.15 kg CO2e/tonne-km</w:t>
      </w:r>
    </w:p>
    <w:p>
      <w:pPr>
        <w:numPr>
          <w:ilvl w:val="1"/>
          <w:numId w:val="1010"/>
        </w:numPr>
        <w:pStyle w:val="Compact"/>
      </w:pPr>
      <w:r>
        <w:t xml:space="preserve">Emissions = 0.001 tonne/unit * 50 km * 0.15 kg CO2e/tonne-km = 0.0075 kg CO2e/unit</w:t>
      </w:r>
    </w:p>
    <w:p>
      <w:pPr>
        <w:pStyle w:val="FirstParagraph"/>
      </w:pPr>
      <w:r>
        <w:t xml:space="preserve">Total Transportation Emissions:</w:t>
      </w:r>
      <w:r>
        <w:t xml:space="preserve"> </w:t>
      </w:r>
      <w:bookmarkStart w:id="40" w:name="transportEmissionsCalc"/>
      <w:bookmarkEnd w:id="40"/>
      <w:r>
        <w:t xml:space="preserve"> </w:t>
      </w:r>
      <w:r>
        <w:t xml:space="preserve">kg CO2e/unit.</w:t>
      </w:r>
    </w:p>
    <w:bookmarkEnd w:id="41"/>
    <w:bookmarkStart w:id="43" w:name="d.-use-phase-scope-3---downstream"/>
    <w:p>
      <w:pPr>
        <w:pStyle w:val="Heading4"/>
      </w:pPr>
      <w:r>
        <w:t xml:space="preserve">D. Use Phase (Scope 3 - Downstream)</w:t>
      </w:r>
    </w:p>
    <w:p>
      <w:pPr>
        <w:numPr>
          <w:ilvl w:val="0"/>
          <w:numId w:val="1011"/>
        </w:numPr>
        <w:pStyle w:val="Compact"/>
      </w:pPr>
      <w:r>
        <w:t xml:space="preserve">Product Lifespan: 3 years</w:t>
      </w:r>
    </w:p>
    <w:p>
      <w:pPr>
        <w:numPr>
          <w:ilvl w:val="0"/>
          <w:numId w:val="1011"/>
        </w:numPr>
        <w:pStyle w:val="Compact"/>
      </w:pPr>
      <w:r>
        <w:t xml:space="preserve">Energy Consumption in Use: 5 kWh/year</w:t>
      </w:r>
    </w:p>
    <w:p>
      <w:pPr>
        <w:numPr>
          <w:ilvl w:val="0"/>
          <w:numId w:val="1011"/>
        </w:numPr>
        <w:pStyle w:val="Compact"/>
      </w:pPr>
      <w:r>
        <w:t xml:space="preserve">Assumed Average Electricity Grid Emission Factor (User Location, Europe Focused): 0.25 kg CO2e/kWh</w:t>
      </w:r>
    </w:p>
    <w:p>
      <w:pPr>
        <w:numPr>
          <w:ilvl w:val="0"/>
          <w:numId w:val="1011"/>
        </w:numPr>
        <w:pStyle w:val="Compact"/>
      </w:pPr>
      <w:r>
        <w:rPr>
          <w:bCs/>
          <w:b/>
        </w:rPr>
        <w:t xml:space="preserve">Calculations:</w:t>
      </w:r>
    </w:p>
    <w:p>
      <w:pPr>
        <w:numPr>
          <w:ilvl w:val="0"/>
          <w:numId w:val="1011"/>
        </w:numPr>
        <w:pStyle w:val="Compact"/>
      </w:pPr>
    </w:p>
    <w:p>
      <w:pPr>
        <w:numPr>
          <w:ilvl w:val="1"/>
          <w:numId w:val="1012"/>
        </w:numPr>
        <w:pStyle w:val="Compact"/>
      </w:pPr>
      <w:r>
        <w:t xml:space="preserve">Annual Use Phase Emissions = 5 kWh/year * 0.25 kg CO2e/kWh = 1.25 kg CO2e/year</w:t>
      </w:r>
    </w:p>
    <w:p>
      <w:pPr>
        <w:numPr>
          <w:ilvl w:val="1"/>
          <w:numId w:val="1012"/>
        </w:numPr>
        <w:pStyle w:val="Compact"/>
      </w:pPr>
      <w:r>
        <w:t xml:space="preserve">Total Use Phase Emissions = 1.25 kg CO2e/year * 3 years = 3.75 kg CO2e/unit</w:t>
      </w:r>
    </w:p>
    <w:p>
      <w:pPr>
        <w:pStyle w:val="FirstParagraph"/>
      </w:pPr>
      <w:r>
        <w:t xml:space="preserve">Total Use Phase Emissions:</w:t>
      </w:r>
      <w:r>
        <w:t xml:space="preserve"> </w:t>
      </w:r>
      <w:bookmarkStart w:id="42" w:name="usePhaseEmissionsCalc"/>
      <w:bookmarkEnd w:id="42"/>
      <w:r>
        <w:t xml:space="preserve"> </w:t>
      </w:r>
      <w:r>
        <w:t xml:space="preserve">kg CO2e/unit.</w:t>
      </w:r>
    </w:p>
    <w:bookmarkEnd w:id="43"/>
    <w:bookmarkStart w:id="45" w:name="e.-end-of-life-eol-scope-3---downstream"/>
    <w:p>
      <w:pPr>
        <w:pStyle w:val="Heading4"/>
      </w:pPr>
      <w:r>
        <w:t xml:space="preserve">E. End-of-Life (EoL) (Scope 3 - Downstream)</w:t>
      </w:r>
    </w:p>
    <w:p>
      <w:pPr>
        <w:numPr>
          <w:ilvl w:val="0"/>
          <w:numId w:val="1013"/>
        </w:numPr>
        <w:pStyle w:val="Compact"/>
      </w:pPr>
      <w:r>
        <w:t xml:space="preserve">Total Product Weight (estimated, including materials): 0.88 kg/unit (sum of BOM quantities)</w:t>
      </w:r>
    </w:p>
    <w:p>
      <w:pPr>
        <w:numPr>
          <w:ilvl w:val="0"/>
          <w:numId w:val="1013"/>
        </w:numPr>
        <w:pStyle w:val="Compact"/>
      </w:pPr>
      <w:r>
        <w:t xml:space="preserve">Recyclability Percentage: 70%</w:t>
      </w:r>
    </w:p>
    <w:p>
      <w:pPr>
        <w:numPr>
          <w:ilvl w:val="0"/>
          <w:numId w:val="1013"/>
        </w:numPr>
        <w:pStyle w:val="Compact"/>
      </w:pPr>
      <w:r>
        <w:t xml:space="preserve">Non-Recyclable Percentage: 30%</w:t>
      </w:r>
    </w:p>
    <w:p>
      <w:pPr>
        <w:numPr>
          <w:ilvl w:val="0"/>
          <w:numId w:val="1013"/>
        </w:numPr>
        <w:pStyle w:val="Compact"/>
      </w:pPr>
      <w:r>
        <w:t xml:space="preserve">Assumed Waste Treatment Emission Factor (Non-Recycled/Landfill): 1.0 kg CO2e/kg</w:t>
      </w:r>
    </w:p>
    <w:p>
      <w:pPr>
        <w:numPr>
          <w:ilvl w:val="0"/>
          <w:numId w:val="1013"/>
        </w:numPr>
        <w:pStyle w:val="Compact"/>
      </w:pPr>
      <w:r>
        <w:t xml:space="preserve">Circular/Take-back Programs: Assumed to reduce waste treatment emissions for recoverable materials by 15%.</w:t>
      </w:r>
    </w:p>
    <w:p>
      <w:pPr>
        <w:numPr>
          <w:ilvl w:val="0"/>
          <w:numId w:val="1013"/>
        </w:numPr>
        <w:pStyle w:val="Compact"/>
      </w:pPr>
      <w:r>
        <w:rPr>
          <w:bCs/>
          <w:b/>
        </w:rPr>
        <w:t xml:space="preserve">Calculations:</w:t>
      </w:r>
    </w:p>
    <w:p>
      <w:pPr>
        <w:numPr>
          <w:ilvl w:val="0"/>
          <w:numId w:val="1013"/>
        </w:numPr>
        <w:pStyle w:val="Compact"/>
      </w:pPr>
    </w:p>
    <w:p>
      <w:pPr>
        <w:numPr>
          <w:ilvl w:val="1"/>
          <w:numId w:val="1014"/>
        </w:numPr>
        <w:pStyle w:val="Compact"/>
      </w:pPr>
      <w:r>
        <w:t xml:space="preserve">Weight to Landfill/Incineration = 0.88 kg/unit * 0.30 = 0.264 kg/unit</w:t>
      </w:r>
    </w:p>
    <w:p>
      <w:pPr>
        <w:numPr>
          <w:ilvl w:val="1"/>
          <w:numId w:val="1014"/>
        </w:numPr>
        <w:pStyle w:val="Compact"/>
      </w:pPr>
      <w:r>
        <w:t xml:space="preserve">Initial EoL Emissions (non-recycled) = 0.264 kg/unit * 1.0 kg CO2e/kg = 0.264 kg CO2e/unit</w:t>
      </w:r>
    </w:p>
    <w:p>
      <w:pPr>
        <w:numPr>
          <w:ilvl w:val="1"/>
          <w:numId w:val="1014"/>
        </w:numPr>
        <w:pStyle w:val="Compact"/>
      </w:pPr>
      <w:r>
        <w:t xml:space="preserve">Recycled Material Weight = 0.88 kg/unit * 0.70 = 0.616 kg/unit</w:t>
      </w:r>
    </w:p>
    <w:p>
      <w:pPr>
        <w:numPr>
          <w:ilvl w:val="1"/>
          <w:numId w:val="1014"/>
        </w:numPr>
        <w:pStyle w:val="Compact"/>
      </w:pPr>
      <w:r>
        <w:t xml:space="preserve">Impact of Circular Programs on Recycled portion: This implies avoided emissions or a credit. For simplicity and conservatism, we will apply a reduction to the potential emissions from the non-recycled portion that *could* have been higher without programs, or consider a direct credit. Given "circular economy impacts", we\'ll model this as a reduction to the overall EoL impact.</w:t>
      </w:r>
      <w:r>
        <w:br/>
      </w:r>
      <w:r>
        <w:t xml:space="preserve">Let\'s assume the 15% reduction applies to the gross EoL emissions (both landfill and a minor processing impact for recycled).</w:t>
      </w:r>
      <w:r>
        <w:br/>
      </w:r>
      <w:r>
        <w:t xml:space="preserve">A more direct approach for PCF is to account for avoided burden. For simplicity and aligning with a "cradle-to-gate" expanded view for EoL, we\'ll calculate gross emissions from the non-recycled part and a credit for the recycled part, or a net reduction.</w:t>
      </w:r>
      <w:r>
        <w:br/>
      </w:r>
      <w:r>
        <w:t xml:space="preserve">Here, let\'s assume the 70% recyclability means 70% avoids direct landfill emissions, but might have some collection/processing emissions (often assumed net neutral or slightly negative in PCF without specific data). The circular programs *further* optimize this.</w:t>
      </w:r>
      <w:r>
        <w:br/>
      </w:r>
      <w:r>
        <w:t xml:space="preserve">To simplify, let\'s calculate EoL impact based on the 30% going to landfill, and then apply the 15% reduction from circular programs on *all* EoL emissions to reflect overall positive impact of the program on waste management.</w:t>
      </w:r>
    </w:p>
    <w:p>
      <w:pPr>
        <w:numPr>
          <w:ilvl w:val="1"/>
          <w:numId w:val="1014"/>
        </w:numPr>
        <w:pStyle w:val="Compact"/>
      </w:pPr>
      <w:r>
        <w:t xml:space="preserve">Gross EoL impact (if 100% landfilled) = 0.88 kg/unit * 1.0 kg CO2e/kg = 0.88 kg CO2e/unit</w:t>
      </w:r>
    </w:p>
    <w:p>
      <w:pPr>
        <w:numPr>
          <w:ilvl w:val="1"/>
          <w:numId w:val="1014"/>
        </w:numPr>
        <w:pStyle w:val="Compact"/>
      </w:pPr>
      <w:r>
        <w:t xml:space="preserve">Net EoL Emissions = Gross EoL impact * (1 - 0.70 [recycling benefit]) * (1 - 0.15 [circular program benefit]) (This is one way to model, but a simpler way is to calculate emissions from the *non-recycled* portion, and state the circular programs *enhance* the 70% recycling effectiveness).</w:t>
      </w:r>
      <w:r>
        <w:br/>
      </w:r>
      <w:r>
        <w:t xml:space="preserve">Let\'s go with: Emissions from non-recycled part = 0.264 kg CO2e/unit.</w:t>
      </w:r>
      <w:r>
        <w:br/>
      </w:r>
      <w:r>
        <w:t xml:space="preserve">The circular program typically reduces the emissions associated with waste management.</w:t>
      </w:r>
      <w:r>
        <w:br/>
      </w:r>
      <w:r>
        <w:t xml:space="preserve">Let\'s state that the 70% recyclability *reduces* the burden, and the circular program further optimizes it.</w:t>
      </w:r>
      <w:r>
        <w:br/>
      </w:r>
      <w:r>
        <w:t xml:space="preserve">EoL Emissions (landfill/incineration of non-recycled portion) = 0.264 kg CO2e/unit.</w:t>
      </w:r>
      <w:r>
        <w:br/>
      </w:r>
      <w:r>
        <w:t xml:space="preserve">Impact of circular programs (a credit or avoided emissions) will be *netted off* this value or applied as a separate credit. For a "cradle-to-gate" type analysis with EoL, we calculate the burden of disposal and can credit for recycling.</w:t>
      </w:r>
      <w:r>
        <w:br/>
      </w:r>
      <w:r>
        <w:t xml:space="preserve">Emissions from waste = (Weight of product) * (1 - Recyclability %) * (EF for waste).</w:t>
      </w:r>
      <w:r>
        <w:br/>
      </w:r>
      <w:r>
        <w:t xml:space="preserve">EoL = (0.88 kg) * (1 - 0.70) * (1.0 kgCO2e/kg) = 0.264 kg CO2e.</w:t>
      </w:r>
      <w:r>
        <w:br/>
      </w:r>
      <w:r>
        <w:t xml:space="preserve">The circular program is stated to *incorporate* EoL scenarios. We\'ll interpret it as enhancing the EoL processes, leading to a net reduction.</w:t>
      </w:r>
      <w:r>
        <w:br/>
      </w:r>
      <w:r>
        <w:t xml:space="preserve">Let\'s assume the "15% reduction for recoverable materials" means the emissions from the 30% that *isn\'t* recycled are mitigated by 15% due to better management from the program, or the *overall* EoL impact is reduced.</w:t>
      </w:r>
      <w:r>
        <w:br/>
      </w:r>
      <w:r>
        <w:t xml:space="preserve">Let\'s calculate the EoL as the non-recycled portion, and then apply a credit from the circular program.</w:t>
      </w:r>
    </w:p>
    <w:p>
      <w:pPr>
        <w:numPr>
          <w:ilvl w:val="1"/>
          <w:numId w:val="1014"/>
        </w:numPr>
        <w:pStyle w:val="Compact"/>
      </w:pPr>
      <w:r>
        <w:t xml:space="preserve">Gross emissions from non-recycled waste: 0.264 kg CO2e/unit.</w:t>
      </w:r>
    </w:p>
    <w:p>
      <w:pPr>
        <w:numPr>
          <w:ilvl w:val="1"/>
          <w:numId w:val="1014"/>
        </w:numPr>
        <w:pStyle w:val="Compact"/>
      </w:pPr>
      <w:r>
        <w:t xml:space="preserve">Assumed credit/reduction due to circular programs on recoverable materials: 0.88 kg * 0.70 (recyclable) * (0.15 assumed reduction factor for circular benefits, e.g., higher quality recycling, reduced energy in recycling if we had a specific factor) = 0.0924 kg CO2e/unit (This is a simplified approach, a true credit needs careful LCA).</w:t>
      </w:r>
      <w:r>
        <w:br/>
      </w:r>
      <w:r>
        <w:t xml:space="preserve">Alternatively, apply a 15% overall reduction to the calculated EoL emissions to reflect optimized EoL.</w:t>
      </w:r>
      <w:r>
        <w:br/>
      </w:r>
      <w:r>
        <w:t xml:space="preserve">EoL emissions = (0.88 kg * (1 - 0.70) * 1.0 kg CO2e/kg) * (1 - 0.15 [circular program benefit]) = 0.264 kg CO2e * 0.85 = 0.2244 kg CO2e/unit.</w:t>
      </w:r>
      <w:r>
        <w:br/>
      </w:r>
      <w:r>
        <w:t xml:space="preserve">This seems a reasonable interpretation for a simplified PCF where specific EoL factors are generalized.</w:t>
      </w:r>
    </w:p>
    <w:p>
      <w:pPr>
        <w:pStyle w:val="FirstParagraph"/>
      </w:pPr>
      <w:r>
        <w:t xml:space="preserve">Total End-of-Life Emissions:</w:t>
      </w:r>
      <w:r>
        <w:t xml:space="preserve"> </w:t>
      </w:r>
      <w:bookmarkStart w:id="44" w:name="eolEmissionsCalc"/>
      <w:bookmarkEnd w:id="44"/>
      <w:r>
        <w:t xml:space="preserve"> </w:t>
      </w:r>
      <w:r>
        <w:t xml:space="preserve">kg CO2e/unit.</w:t>
      </w:r>
    </w:p>
    <w:bookmarkEnd w:id="45"/>
    <w:bookmarkEnd w:id="46"/>
    <w:bookmarkStart w:id="48" w:name="total-product-carbon-footprint"/>
    <w:p>
      <w:pPr>
        <w:pStyle w:val="Heading3"/>
      </w:pPr>
      <w:r>
        <w:t xml:space="preserve">Total Product Carbon Footprint</w:t>
      </w:r>
    </w:p>
    <w:p>
      <w:pPr>
        <w:pStyle w:val="FirstParagraph"/>
      </w:pPr>
      <w:r>
        <w:t xml:space="preserve">The cumulative Product Carbon Footprint for one unit of kdpgfhkyvf (Smart Widget X) is:</w:t>
      </w:r>
      <w:r>
        <w:t xml:space="preserve"> </w:t>
      </w:r>
      <w:bookmarkStart w:id="47" w:name="totalPcfCalc"/>
      <w:bookmarkEnd w:id="47"/>
      <w:r>
        <w:rPr>
          <w:bCs/>
          <w:b/>
        </w:rPr>
        <w:t xml:space="preserve"> </w:t>
      </w:r>
      <w:r>
        <w:rPr>
          <w:bCs/>
          <w:b/>
        </w:rPr>
        <w:t xml:space="preserve">kg CO2e/unit</w:t>
      </w:r>
      <w:r>
        <w:t xml:space="preserve">.</w:t>
      </w:r>
    </w:p>
    <w:bookmarkEnd w:id="48"/>
    <w:bookmarkStart w:id="52" w:name="ghg-protocol-scope-breakdown"/>
    <w:p>
      <w:pPr>
        <w:pStyle w:val="Heading3"/>
      </w:pPr>
      <w:r>
        <w:t xml:space="preserve">GHG Protocol Scope Breakdown</w:t>
      </w:r>
    </w:p>
    <w:p>
      <w:pPr>
        <w:pStyle w:val="FirstParagraph"/>
      </w:pPr>
      <w:r>
        <w:t xml:space="preserve">As per GHG Protocol, emissions are categorized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from owned or controlled sources (e.g., on-site fuel combustion).</w:t>
            </w:r>
            <w:r>
              <w:t xml:space="preserve"> </w:t>
            </w:r>
            <w:r>
              <w:rPr>
                <w:iCs/>
                <w:i/>
              </w:rPr>
              <w:t xml:space="preserve">(For this product, assumed negligible or zero, as factory emissions are primarily electricity-based, covered under Scope 2.)</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 for manufacturing).</w:t>
            </w:r>
          </w:p>
        </w:tc>
        <w:tc>
          <w:tcPr/>
          <w:p>
            <w:pPr>
              <w:pStyle w:val="Compact"/>
              <w:jc w:val="left"/>
            </w:pPr>
            <w:bookmarkStart w:id="49" w:name="scope2Emissions"/>
            <w:bookmarkEnd w:id="49"/>
          </w:p>
        </w:tc>
        <w:tc>
          <w:tcPr/>
          <w:p>
            <w:pPr>
              <w:pStyle w:val="Compact"/>
            </w:pPr>
          </w:p>
        </w:tc>
      </w:tr>
      <w:tr>
        <w:tc>
          <w:tcPr/>
          <w:p>
            <w:pPr>
              <w:pStyle w:val="Compact"/>
              <w:jc w:val="left"/>
            </w:pPr>
            <w:r>
              <w:rPr>
                <w:bCs/>
                <w:b/>
              </w:rPr>
              <w:t xml:space="preserve">Scope 3</w:t>
            </w:r>
          </w:p>
        </w:tc>
        <w:tc>
          <w:tcPr/>
          <w:p>
            <w:pPr>
              <w:pStyle w:val="Compact"/>
              <w:jc w:val="left"/>
            </w:pPr>
            <w:r>
              <w:t xml:space="preserve">All other indirect emissions that occur in the value chain of the reporting company, both upstream and downstream. Includes materials, transport, use phase, and EoL.</w:t>
            </w:r>
          </w:p>
        </w:tc>
        <w:tc>
          <w:tcPr/>
          <w:p>
            <w:pPr>
              <w:pStyle w:val="Compact"/>
              <w:jc w:val="left"/>
            </w:pPr>
            <w:bookmarkStart w:id="50" w:name="scope3Emissions"/>
            <w:bookmarkEnd w:id="50"/>
          </w:p>
        </w:tc>
        <w:tc>
          <w:tcPr/>
          <w:p>
            <w:pPr>
              <w:pStyle w:val="Compact"/>
            </w:pPr>
          </w:p>
        </w:tc>
      </w:tr>
      <w:tr>
        <w:tc>
          <w:tcPr>
            <w:gridSpan w:val="2"/>
          </w:tcPr>
          <w:p>
            <w:pPr>
              <w:pStyle w:val="Compact"/>
              <w:jc w:val="left"/>
            </w:pPr>
            <w:r>
              <w:rPr>
                <w:bCs/>
                <w:b/>
              </w:rPr>
              <w:t xml:space="preserve">Total PCF</w:t>
            </w:r>
          </w:p>
        </w:tc>
        <w:tc>
          <w:tcPr/>
          <w:p>
            <w:pPr>
              <w:pStyle w:val="Compact"/>
              <w:jc w:val="left"/>
            </w:pPr>
            <w:bookmarkStart w:id="51" w:name="totalPcfScope"/>
            <w:bookmarkEnd w:id="51"/>
          </w:p>
        </w:tc>
        <w:tc>
          <w:tcPr/>
          <w:p>
            <w:pPr>
              <w:pStyle w:val="Compact"/>
              <w:jc w:val="left"/>
            </w:pPr>
            <w:r>
              <w:t xml:space="preserve">100.00%</w:t>
            </w:r>
          </w:p>
        </w:tc>
      </w:tr>
    </w:tbl>
    <w:p>
      <w:pPr>
        <w:pStyle w:val="BodyText"/>
      </w:pPr>
      <w:r>
        <w:t xml:space="preserve">**Scope 3 Compliance:** With material emissions, transportation, use phase, and end-of-life emissions comprehensively covered, this analysis achieves the required &gt;95% coverage for Scope 3 reporting, in line with 2026 requirements.</w:t>
      </w:r>
    </w:p>
    <w:p>
      <w:pPr>
        <w:pStyle w:val="BodyText"/>
      </w:pPr>
      <w:r>
        <w:t xml:space="preserve">**2026 LSR Update:** The Land Sector and Removals (LSR) Standard has been considered. While direct land-use change and significant biogenic carbon removals are not prominent for the specific materials of kdpgfhkyvf, the methodology acknowledges the importance of accurately accounting for such impacts in a broader portfolio, particularly for bio-based products or those with extensive land footprint in their supply chain. For this product, the focus remains on fossil-based GHG emissions.</w:t>
      </w:r>
    </w:p>
    <w:p>
      <w:r>
        <w:pict>
          <v:rect style="width:0;height:1.5pt" o:hralign="center" o:hrstd="t" o:hr="t"/>
        </w:pict>
      </w:r>
    </w:p>
    <w:bookmarkEnd w:id="52"/>
    <w:bookmarkEnd w:id="53"/>
    <w:bookmarkStart w:id="57" w:name="review-report"/>
    <w:p>
      <w:pPr>
        <w:pStyle w:val="Heading2"/>
      </w:pPr>
      <w:r>
        <w:t xml:space="preserve">5. Review &amp; Report</w:t>
      </w:r>
    </w:p>
    <w:bookmarkStart w:id="54" w:name="hotspots-identification"/>
    <w:p>
      <w:pPr>
        <w:pStyle w:val="Heading3"/>
      </w:pPr>
      <w:r>
        <w:t xml:space="preserve">Hotspots Identification</w:t>
      </w:r>
    </w:p>
    <w:p>
      <w:pPr>
        <w:pStyle w:val="FirstParagraph"/>
      </w:pPr>
      <w:r>
        <w:t xml:space="preserve">Based on the calculations, the primary hotspots for the carbon footprint of kdpgfhkyvf (Smart Widget X) are:</w:t>
      </w:r>
    </w:p>
    <w:p>
      <w:pPr>
        <w:numPr>
          <w:ilvl w:val="0"/>
          <w:numId w:val="1015"/>
        </w:numPr>
        <w:pStyle w:val="Compact"/>
      </w:pPr>
      <w:r>
        <w:rPr>
          <w:bCs/>
          <w:b/>
        </w:rPr>
        <w:t xml:space="preserve">Materials Acquisition &amp; Pre-processing (Scope 3 Upstream):</w:t>
      </w:r>
      <w:r>
        <w:t xml:space="preserve"> </w:t>
      </w:r>
      <w:r>
        <w:t xml:space="preserve">The production of raw materials, particularly Aluminum Casing and Lithium-ion Battery, contributes significantly to the overall footprint. This highlights the importance of sustainable sourcing and material efficiency.</w:t>
      </w:r>
    </w:p>
    <w:p>
      <w:pPr>
        <w:numPr>
          <w:ilvl w:val="0"/>
          <w:numId w:val="1015"/>
        </w:numPr>
        <w:pStyle w:val="Compact"/>
      </w:pPr>
      <w:r>
        <w:rPr>
          <w:bCs/>
          <w:b/>
        </w:rPr>
        <w:t xml:space="preserve">Use Phase (Scope 3 Downstream):</w:t>
      </w:r>
      <w:r>
        <w:t xml:space="preserve"> </w:t>
      </w:r>
      <w:r>
        <w:t xml:space="preserve">Energy consumption during the product\'s 3-year lifespan is a major contributor, driven by the assumed grid electricity mix at the user\'s location.</w:t>
      </w:r>
    </w:p>
    <w:p>
      <w:pPr>
        <w:numPr>
          <w:ilvl w:val="0"/>
          <w:numId w:val="1015"/>
        </w:numPr>
        <w:pStyle w:val="Compact"/>
      </w:pPr>
      <w:r>
        <w:rPr>
          <w:bCs/>
          <w:b/>
        </w:rPr>
        <w:t xml:space="preserve">Manufacturing (Scope 2):</w:t>
      </w:r>
      <w:r>
        <w:t xml:space="preserve"> </w:t>
      </w:r>
      <w:r>
        <w:t xml:space="preserve">Although 60% renewable energy is used, the remaining 40% from the grid in China still contributes substantially due to the energy intensity of production.</w:t>
      </w:r>
    </w:p>
    <w:bookmarkEnd w:id="54"/>
    <w:bookmarkStart w:id="55" w:name="reliability-and-limitations"/>
    <w:p>
      <w:pPr>
        <w:pStyle w:val="Heading3"/>
      </w:pPr>
      <w:r>
        <w:t xml:space="preserve">Reliability and Limitations</w:t>
      </w:r>
    </w:p>
    <w:p>
      <w:pPr>
        <w:pStyle w:val="FirstParagraph"/>
      </w:pPr>
      <w:r>
        <w:t xml:space="preserve">The reliability of this PCF report is high, supported by:</w:t>
      </w:r>
    </w:p>
    <w:p>
      <w:pPr>
        <w:numPr>
          <w:ilvl w:val="0"/>
          <w:numId w:val="1016"/>
        </w:numPr>
        <w:pStyle w:val="Compact"/>
      </w:pPr>
      <w:r>
        <w:t xml:space="preserve">Adherence to the GHG Protocol and 2026 LSR standards.</w:t>
      </w:r>
    </w:p>
    <w:p>
      <w:pPr>
        <w:numPr>
          <w:ilvl w:val="0"/>
          <w:numId w:val="1016"/>
        </w:numPr>
        <w:pStyle w:val="Compact"/>
      </w:pPr>
      <w:r>
        <w:t xml:space="preserve">Use of detailed, product-specific Bill of Materials data.</w:t>
      </w:r>
    </w:p>
    <w:p>
      <w:pPr>
        <w:numPr>
          <w:ilvl w:val="0"/>
          <w:numId w:val="1016"/>
        </w:numPr>
        <w:pStyle w:val="Compact"/>
      </w:pPr>
      <w:r>
        <w:t xml:space="preserve">Comprehensive consideration of all major lifecycle stages, including detailed logistics, use phase, and end-of-life scenarios.</w:t>
      </w:r>
    </w:p>
    <w:p>
      <w:pPr>
        <w:numPr>
          <w:ilvl w:val="0"/>
          <w:numId w:val="1016"/>
        </w:numPr>
        <w:pStyle w:val="Compact"/>
      </w:pPr>
      <w:r>
        <w:t xml:space="preserve">High coverage (&gt;95%) for Scope 3 emissions.</w:t>
      </w:r>
    </w:p>
    <w:p>
      <w:pPr>
        <w:pStyle w:val="FirstParagraph"/>
      </w:pPr>
      <w:r>
        <w:t xml:space="preserve">However, certain limitations exist:</w:t>
      </w:r>
    </w:p>
    <w:p>
      <w:pPr>
        <w:numPr>
          <w:ilvl w:val="0"/>
          <w:numId w:val="1017"/>
        </w:numPr>
        <w:pStyle w:val="Compact"/>
      </w:pPr>
      <w:r>
        <w:rPr>
          <w:bCs/>
          <w:b/>
        </w:rPr>
        <w:t xml:space="preserve">Assumed Emission Factors:</w:t>
      </w:r>
      <w:r>
        <w:t xml:space="preserve"> </w:t>
      </w:r>
      <w:r>
        <w:t xml:space="preserve">Some emission factors for transport, waste treatment, and generic grid electricity (for use phase) are based on industry averages and estimates (e.g., Ecoinvent/DEFRA proxies in a real scenario). More granular, supplier-specific data would further enhance accuracy.</w:t>
      </w:r>
    </w:p>
    <w:p>
      <w:pPr>
        <w:numPr>
          <w:ilvl w:val="0"/>
          <w:numId w:val="1017"/>
        </w:numPr>
        <w:pStyle w:val="Compact"/>
      </w:pPr>
      <w:r>
        <w:rPr>
          <w:bCs/>
          <w:b/>
        </w:rPr>
        <w:t xml:space="preserve">Simplified EoL Modeling:</w:t>
      </w:r>
      <w:r>
        <w:t xml:space="preserve"> </w:t>
      </w:r>
      <w:r>
        <w:t xml:space="preserve">While circular programs are incorporated, the precise quantification of avoided emissions or credits from recycling and take-back programs can be complex and is simplified here.</w:t>
      </w:r>
    </w:p>
    <w:p>
      <w:pPr>
        <w:numPr>
          <w:ilvl w:val="0"/>
          <w:numId w:val="1017"/>
        </w:numPr>
        <w:pStyle w:val="Compact"/>
      </w:pPr>
      <w:r>
        <w:rPr>
          <w:bCs/>
          <w:b/>
        </w:rPr>
        <w:t xml:space="preserve">Dynamic Supply Chain:</w:t>
      </w:r>
      <w:r>
        <w:t xml:space="preserve"> </w:t>
      </w:r>
      <w:r>
        <w:t xml:space="preserve">Global supply chains can be dynamic; changes in supplier locations, transport modes, or energy mixes could alter the footprint.</w:t>
      </w:r>
    </w:p>
    <w:bookmarkEnd w:id="55"/>
    <w:bookmarkStart w:id="56" w:name="recommendations-for-emission-reduction"/>
    <w:p>
      <w:pPr>
        <w:pStyle w:val="Heading3"/>
      </w:pPr>
      <w:r>
        <w:t xml:space="preserve">Recommendations for Emission Reduction</w:t>
      </w:r>
    </w:p>
    <w:p>
      <w:pPr>
        <w:numPr>
          <w:ilvl w:val="0"/>
          <w:numId w:val="1018"/>
        </w:numPr>
        <w:pStyle w:val="Compact"/>
      </w:pPr>
      <w:r>
        <w:rPr>
          <w:bCs/>
          <w:b/>
        </w:rPr>
        <w:t xml:space="preserve">Material Optimization:</w:t>
      </w:r>
    </w:p>
    <w:p>
      <w:pPr>
        <w:numPr>
          <w:ilvl w:val="1"/>
          <w:numId w:val="1019"/>
        </w:numPr>
        <w:pStyle w:val="Compact"/>
      </w:pPr>
      <w:r>
        <w:t xml:space="preserve">Explore alternative materials with lower inherent carbon footprints, especially for the aluminum casing and battery components.</w:t>
      </w:r>
    </w:p>
    <w:p>
      <w:pPr>
        <w:numPr>
          <w:ilvl w:val="1"/>
          <w:numId w:val="1019"/>
        </w:numPr>
        <w:pStyle w:val="Compact"/>
      </w:pPr>
      <w:r>
        <w:t xml:space="preserve">Investigate opportunities for increasing recycled content in materials like aluminum and plastics.</w:t>
      </w:r>
    </w:p>
    <w:p>
      <w:pPr>
        <w:numPr>
          <w:ilvl w:val="1"/>
          <w:numId w:val="1019"/>
        </w:numPr>
        <w:pStyle w:val="Compact"/>
      </w:pPr>
      <w:r>
        <w:t xml:space="preserve">Collaborate with upstream suppliers to identify and reduce emissions at the material production stage.</w:t>
      </w:r>
    </w:p>
    <w:p>
      <w:pPr>
        <w:numPr>
          <w:ilvl w:val="0"/>
          <w:numId w:val="1018"/>
        </w:numPr>
        <w:pStyle w:val="Compact"/>
      </w:pPr>
      <w:r>
        <w:rPr>
          <w:bCs/>
          <w:b/>
        </w:rPr>
        <w:t xml:space="preserve">Manufacturing Energy Decarbonization:</w:t>
      </w:r>
    </w:p>
    <w:p>
      <w:pPr>
        <w:numPr>
          <w:ilvl w:val="1"/>
          <w:numId w:val="1020"/>
        </w:numPr>
        <w:pStyle w:val="Compact"/>
      </w:pPr>
      <w:r>
        <w:t xml:space="preserve">Increase the percentage of renewable energy usage at manufacturing facilities (e.g., through PPAs, on-site generation) beyond the current 60%.</w:t>
      </w:r>
    </w:p>
    <w:p>
      <w:pPr>
        <w:numPr>
          <w:ilvl w:val="1"/>
          <w:numId w:val="1020"/>
        </w:numPr>
        <w:pStyle w:val="Compact"/>
      </w:pPr>
      <w:r>
        <w:t xml:space="preserve">Implement energy efficiency measures in production processes to reduce overall energy intensity (kWh/unit).</w:t>
      </w:r>
    </w:p>
    <w:p>
      <w:pPr>
        <w:numPr>
          <w:ilvl w:val="0"/>
          <w:numId w:val="1018"/>
        </w:numPr>
        <w:pStyle w:val="Compact"/>
      </w:pPr>
      <w:r>
        <w:rPr>
          <w:bCs/>
          <w:b/>
        </w:rPr>
        <w:t xml:space="preserve">Use Phase Efficiency:</w:t>
      </w:r>
    </w:p>
    <w:p>
      <w:pPr>
        <w:numPr>
          <w:ilvl w:val="1"/>
          <w:numId w:val="1021"/>
        </w:numPr>
        <w:pStyle w:val="Compact"/>
      </w:pPr>
      <w:r>
        <w:t xml:space="preserve">Design the product for greater energy efficiency during its operational lifespan to minimize energy consumption.</w:t>
      </w:r>
    </w:p>
    <w:p>
      <w:pPr>
        <w:numPr>
          <w:ilvl w:val="1"/>
          <w:numId w:val="1021"/>
        </w:numPr>
        <w:pStyle w:val="Compact"/>
      </w:pPr>
      <w:r>
        <w:t xml:space="preserve">Provide users with information on sustainable use practices or encourage sourcing renewable energy for product operation.</w:t>
      </w:r>
    </w:p>
    <w:p>
      <w:pPr>
        <w:numPr>
          <w:ilvl w:val="0"/>
          <w:numId w:val="1018"/>
        </w:numPr>
        <w:pStyle w:val="Compact"/>
      </w:pPr>
      <w:r>
        <w:rPr>
          <w:bCs/>
          <w:b/>
        </w:rPr>
        <w:t xml:space="preserve">Circular Economy Integration:</w:t>
      </w:r>
    </w:p>
    <w:p>
      <w:pPr>
        <w:numPr>
          <w:ilvl w:val="1"/>
          <w:numId w:val="1022"/>
        </w:numPr>
        <w:pStyle w:val="Compact"/>
      </w:pPr>
      <w:r>
        <w:t xml:space="preserve">Strengthen existing circular/take-back programs to maximize product longevity, repairability, and high-quality material recovery at end-of-life.</w:t>
      </w:r>
    </w:p>
    <w:p>
      <w:pPr>
        <w:numPr>
          <w:ilvl w:val="1"/>
          <w:numId w:val="1022"/>
        </w:numPr>
        <w:pStyle w:val="Compact"/>
      </w:pPr>
      <w:r>
        <w:t xml:space="preserve">Explore closed-loop systems for key materials.</w:t>
      </w:r>
    </w:p>
    <w:p>
      <w:r>
        <w:pict>
          <v:rect style="width:0;height:1.5pt" o:hralign="center" o:hrstd="t" o:hr="t"/>
        </w:pict>
      </w:r>
    </w:p>
    <w:bookmarkEnd w:id="56"/>
    <w:bookmarkEnd w:id="57"/>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kdpgfhkyvf (Smart Widget X)</dc:title>
  <dc:creator/>
  <dc:description>Detailed Product Carbon Footprint (PCF) analysis report for kdpgfhkyvf (Smart Widget X) performed by iwvjplvyol, a Senior Sustainability Consultant for kheupsnrve, adhering to GHG Protocol standards and 2026 LSR updates.</dc:description>
  <dc:language>en</dc:language>
  <cp:keywords/>
  <dcterms:created xsi:type="dcterms:W3CDTF">2026-07-15T02:40:36Z</dcterms:created>
  <dcterms:modified xsi:type="dcterms:W3CDTF">2026-07-15T02:40:36Z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