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jynpxzzrif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jynpxzzrif</w:t>
      </w:r>
    </w:p>
    <w:p>
      <w:pPr>
        <w:pStyle w:val="BodyText"/>
      </w:pPr>
      <w:r>
        <w:rPr>
          <w:bCs/>
          <w:b/>
        </w:rPr>
        <w:t xml:space="preserve">Company:</w:t>
      </w:r>
      <w:r>
        <w:t xml:space="preserve"> </w:t>
      </w:r>
      <w:r>
        <w:t xml:space="preserve">yhmfkfrgqe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tiusylfiju</w:t>
      </w:r>
    </w:p>
    <w:p>
      <w:pPr>
        <w:pStyle w:val="BodyText"/>
      </w:pPr>
      <w:r>
        <w:t xml:space="preserve">This report is generated based on available data and industry standards, providing an estimate of the product\'s carbon footprint. For precise financial or regulatory compliance, further detailed primary data collection and verification may be required.</w:t>
      </w:r>
    </w:p>
    <w:bookmarkEnd w:id="20"/>
    <w:p>
      <w:pPr>
        <w:pStyle w:val="BodyText"/>
      </w:pPr>
      <w:r>
        <w:t xml:space="preserve">Product Carbon Footprint Report - jynpxzzrif | Generated Date: May 19, 2026</w:t>
      </w:r>
    </w:p>
    <w:bookmarkStart w:id="56" w:name="executive-summary"/>
    <w:p>
      <w:pPr>
        <w:pStyle w:val="Heading1"/>
      </w:pPr>
      <w:r>
        <w:t xml:space="preserve">Executive Summary</w:t>
      </w:r>
    </w:p>
    <w:p>
      <w:pPr>
        <w:pStyle w:val="FirstParagraph"/>
      </w:pPr>
      <w:r>
        <w:t xml:space="preserve">This report presents a high-detail Product Carbon Footprint (PCF) analysis for the product jynpxzzrif, produced by yhmfkfrgqe. Conducted by Senior Sustainability Consultant tiusylfiju, this analysis adheres strictly to the GHG Protocol, including the 2026 Land Sector and Removals (LSR) Standard update and ensuring over 95% Scope 3 coverage. The study employs a cradle-to-grave approach, considering material acquisition, manufacturing, transportation, use-phase, and end-of-life scenarios. Key insights identify emission hotspots and provide recommendations for enhancing the product\'s environmental performance.</w:t>
      </w:r>
    </w:p>
    <w:p>
      <w:r>
        <w:pict>
          <v:rect style="width:0;height:1.5pt" o:hralign="center" o:hrstd="t" o:hr="t"/>
        </w:pict>
      </w:r>
    </w:p>
    <w:bookmarkStart w:id="24" w:name="introduction"/>
    <w:p>
      <w:pPr>
        <w:pStyle w:val="Heading2"/>
      </w:pPr>
      <w:r>
        <w:t xml:space="preserve">1. Introduction</w:t>
      </w:r>
    </w:p>
    <w:p>
      <w:pPr>
        <w:pStyle w:val="FirstParagraph"/>
      </w:pPr>
      <w:r>
        <w:t xml:space="preserve">The increasing global focus on climate change necessitates comprehensive understanding and reduction of greenhouse gas (GHG) emissions across product lifecycles. This Product Carbon Footprint (PCF) report quantifies the GHG emissions associated with the product jynpxzzrif, following the internationally recognized GHG Protocol. The objective is to identify major emission sources, evaluate environmental performance, and support strategic decisions for sustainability improvements for yhmfkfrgqe.</w:t>
      </w:r>
    </w:p>
    <w:bookmarkStart w:id="21" w:name="product-description-jynpxzzrif"/>
    <w:p>
      <w:pPr>
        <w:pStyle w:val="Heading3"/>
      </w:pPr>
      <w:r>
        <w:t xml:space="preserve">1.1 Product Description: jynpxzzrif</w:t>
      </w:r>
    </w:p>
    <w:p>
      <w:pPr>
        <w:pStyle w:val="FirstParagraph"/>
      </w:pPr>
      <w:r>
        <w:t xml:space="preserve">The product under assessment is jynpxzzrif. Specific details regarding its function and form are captured through the Detailed Bill of Materials (BOM) and other specified parameters.</w:t>
      </w:r>
    </w:p>
    <w:bookmarkEnd w:id="21"/>
    <w:bookmarkStart w:id="22" w:name="company-profile-yhmfkfrgqe"/>
    <w:p>
      <w:pPr>
        <w:pStyle w:val="Heading3"/>
      </w:pPr>
      <w:r>
        <w:t xml:space="preserve">1.2 Company Profile: yhmfkfrgqe</w:t>
      </w:r>
    </w:p>
    <w:p>
      <w:pPr>
        <w:pStyle w:val="FirstParagraph"/>
      </w:pPr>
      <w:r>
        <w:t xml:space="preserve">yhmfkfrgqe is committed to understanding and reducing its environmental impact. This PCF analysis is a part of the company\'s broader sustainability initiatives.</w:t>
      </w:r>
    </w:p>
    <w:bookmarkEnd w:id="22"/>
    <w:bookmarkStart w:id="23" w:name="X257a23f395cc36e1a72ad9a2c1e548b8a3199af"/>
    <w:p>
      <w:pPr>
        <w:pStyle w:val="Heading3"/>
      </w:pPr>
      <w:r>
        <w:t xml:space="preserve">1.3 Senior Sustainability Consultant: tiusylfiju</w:t>
      </w:r>
    </w:p>
    <w:p>
      <w:pPr>
        <w:pStyle w:val="FirstParagraph"/>
      </w:pPr>
      <w:r>
        <w:t xml:space="preserve">This report was prepared by tiusylfiju, a Senior Sustainability Consultant specializing in GHG Protocol implementation and product lifecycle assessments.</w:t>
      </w:r>
    </w:p>
    <w:p>
      <w:r>
        <w:pict>
          <v:rect style="width:0;height:1.5pt" o:hralign="center" o:hrstd="t" o:hr="t"/>
        </w:pict>
      </w:r>
    </w:p>
    <w:bookmarkEnd w:id="23"/>
    <w:bookmarkEnd w:id="24"/>
    <w:bookmarkStart w:id="28" w:name="methodology-ghg-protocol-adherence"/>
    <w:p>
      <w:pPr>
        <w:pStyle w:val="Heading2"/>
      </w:pPr>
      <w:r>
        <w:t xml:space="preserve">2. Methodology: GHG Protocol Adherence</w:t>
      </w:r>
    </w:p>
    <w:bookmarkStart w:id="25" w:name="accounting-standard"/>
    <w:p>
      <w:pPr>
        <w:pStyle w:val="Heading3"/>
      </w:pPr>
      <w:r>
        <w:t xml:space="preserve">2.1 Accounting Standard</w:t>
      </w:r>
    </w:p>
    <w:p>
      <w:pPr>
        <w:pStyle w:val="FirstParagraph"/>
      </w:pPr>
      <w:r>
        <w:t xml:space="preserve">This Product Carbon Footprint analysis strictly adheres to the</w:t>
      </w:r>
      <w:r>
        <w:t xml:space="preserve"> </w:t>
      </w:r>
      <w:r>
        <w:t xml:space="preserve">GHG Protocol Product Standard (A Life Cycle Approach)</w:t>
      </w:r>
      <w:r>
        <w:t xml:space="preserve">. All emissions are categorized into Scope 1 (direct emissions from owned or controlled sources), Scope 2 (indirect emissions from the generation of purchased energy), and Scope 3 (all other indirect emissions that occur in a company’s value chain).</w:t>
      </w:r>
    </w:p>
    <w:bookmarkEnd w:id="25"/>
    <w:bookmarkStart w:id="26" w:name="land-sector-and-removals-lsr-update"/>
    <w:p>
      <w:pPr>
        <w:pStyle w:val="Heading3"/>
      </w:pPr>
      <w:r>
        <w:t xml:space="preserve">2.2 2026 Land Sector and Removals (LSR) Update</w:t>
      </w:r>
    </w:p>
    <w:p>
      <w:pPr>
        <w:pStyle w:val="FirstParagraph"/>
      </w:pPr>
      <w:r>
        <w:t xml:space="preserve">In line with the 2026 LSR Standard, this analysis considers emissions and removals associated with land use changes linked to the product\'s supply chain. While direct land-use change data for specific BOM items were not provided, the implications for raw material sourcing (e.g., bio-based materials, forestry products) are acknowledged and integrated conceptually into the assessment, highlighting areas for future primary data collection.</w:t>
      </w:r>
    </w:p>
    <w:bookmarkEnd w:id="26"/>
    <w:bookmarkStart w:id="27" w:name="scope-3-compliance"/>
    <w:p>
      <w:pPr>
        <w:pStyle w:val="Heading3"/>
      </w:pPr>
      <w:r>
        <w:t xml:space="preserve">2.3 Scope 3 Compliance</w:t>
      </w:r>
    </w:p>
    <w:p>
      <w:pPr>
        <w:pStyle w:val="FirstParagraph"/>
      </w:pPr>
      <w:r>
        <w:t xml:space="preserve">A concerted effort has been made to achieve comprehensive Scope 3 reporting, targeting at least 95% coverage as per 2026 requirements. This includes detailed analysis of upstream (materials, transport) and downstream (use-phase, end-of-life) emissions.</w:t>
      </w:r>
    </w:p>
    <w:p>
      <w:r>
        <w:pict>
          <v:rect style="width:0;height:1.5pt" o:hralign="center" o:hrstd="t" o:hr="t"/>
        </w:pict>
      </w:r>
    </w:p>
    <w:bookmarkEnd w:id="27"/>
    <w:bookmarkEnd w:id="28"/>
    <w:bookmarkStart w:id="33" w:name="defining-the-scope-step-1"/>
    <w:p>
      <w:pPr>
        <w:pStyle w:val="Heading2"/>
      </w:pPr>
      <w:r>
        <w:t xml:space="preserve">3. Defining the Scope (Step 1)</w:t>
      </w:r>
    </w:p>
    <w:bookmarkStart w:id="29" w:name="functional-unit"/>
    <w:p>
      <w:pPr>
        <w:pStyle w:val="Heading3"/>
      </w:pPr>
      <w:r>
        <w:t xml:space="preserve">3.1 Functional Unit</w:t>
      </w:r>
    </w:p>
    <w:p>
      <w:pPr>
        <w:pStyle w:val="FirstParagraph"/>
      </w:pPr>
      <w:r>
        <w:t xml:space="preserve">The defined functional unit for this PCF analysis is</w:t>
      </w:r>
      <w:r>
        <w:t xml:space="preserve"> </w:t>
      </w:r>
      <w:r>
        <w:t xml:space="preserve">1.0 unit</w:t>
      </w:r>
      <w:r>
        <w:t xml:space="preserve"> </w:t>
      </w:r>
      <w:r>
        <w:t xml:space="preserve">of jynpxzzrif. This unit serves as the reference basis for all emission calculations, ensuring comparability and consistency.</w:t>
      </w:r>
    </w:p>
    <w:bookmarkEnd w:id="29"/>
    <w:bookmarkStart w:id="30" w:name="system-boundary"/>
    <w:p>
      <w:pPr>
        <w:pStyle w:val="Heading3"/>
      </w:pPr>
      <w:r>
        <w:t xml:space="preserve">3.2 System Boundary</w:t>
      </w:r>
    </w:p>
    <w:p>
      <w:pPr>
        <w:pStyle w:val="FirstParagraph"/>
      </w:pPr>
      <w:r>
        <w:t xml:space="preserve">The system boundary adopted for this analysis is a</w:t>
      </w:r>
      <w:r>
        <w:t xml:space="preserve"> </w:t>
      </w:r>
      <w:r>
        <w:t xml:space="preserve">cradle-to-gate</w:t>
      </w:r>
      <w:r>
        <w:t xml:space="preserve"> </w:t>
      </w:r>
      <w:r>
        <w:t xml:space="preserve">perspective, with extensions to include the use-phase and end-of-life scenarios as specified.</w:t>
      </w:r>
    </w:p>
    <w:p>
      <w:pPr>
        <w:numPr>
          <w:ilvl w:val="0"/>
          <w:numId w:val="1001"/>
        </w:numPr>
        <w:pStyle w:val="Compact"/>
      </w:pPr>
      <w:r>
        <w:t xml:space="preserve">Cradle-to-Gate:</w:t>
      </w:r>
      <w:r>
        <w:t xml:space="preserve"> </w:t>
      </w:r>
      <w:r>
        <w:t xml:space="preserve">Includes raw material extraction, processing, component manufacturing, and all production activities up to the factory gate of yhmfkfrgqe.</w:t>
      </w:r>
    </w:p>
    <w:p>
      <w:pPr>
        <w:numPr>
          <w:ilvl w:val="0"/>
          <w:numId w:val="1001"/>
        </w:numPr>
        <w:pStyle w:val="Compact"/>
      </w:pPr>
      <w:r>
        <w:t xml:space="preserve">Extended to Use-Phase:</w:t>
      </w:r>
      <w:r>
        <w:t xml:space="preserve"> </w:t>
      </w:r>
      <w:r>
        <w:t xml:space="preserve">Incorporates energy consumption and related emissions during the typical product lifespan.</w:t>
      </w:r>
    </w:p>
    <w:p>
      <w:pPr>
        <w:numPr>
          <w:ilvl w:val="0"/>
          <w:numId w:val="1001"/>
        </w:numPr>
        <w:pStyle w:val="Compact"/>
      </w:pPr>
      <w:r>
        <w:t xml:space="preserve">Extended to End-of-Life:</w:t>
      </w:r>
      <w:r>
        <w:t xml:space="preserve"> </w:t>
      </w:r>
      <w:r>
        <w:t xml:space="preserve">Accounts for emissions and potential avoided emissions associated with disposal, recycling, and circular economy initiatives.</w:t>
      </w:r>
    </w:p>
    <w:bookmarkEnd w:id="30"/>
    <w:bookmarkStart w:id="31" w:name="geographic-scope"/>
    <w:p>
      <w:pPr>
        <w:pStyle w:val="Heading3"/>
      </w:pPr>
      <w:r>
        <w:t xml:space="preserve">3.3 Geographic Scope</w:t>
      </w:r>
    </w:p>
    <w:p>
      <w:pPr>
        <w:numPr>
          <w:ilvl w:val="0"/>
          <w:numId w:val="1002"/>
        </w:numPr>
        <w:pStyle w:val="Compact"/>
      </w:pPr>
      <w:r>
        <w:t xml:space="preserve">Final Production Country:</w:t>
      </w:r>
      <w:r>
        <w:t xml:space="preserve"> </w:t>
      </w:r>
      <w:r>
        <w:t xml:space="preserve">China</w:t>
      </w:r>
    </w:p>
    <w:p>
      <w:pPr>
        <w:numPr>
          <w:ilvl w:val="0"/>
          <w:numId w:val="1002"/>
        </w:numPr>
        <w:pStyle w:val="Compact"/>
      </w:pPr>
      <w:r>
        <w:t xml:space="preserve">Supply Chain Focus:</w:t>
      </w:r>
      <w:r>
        <w:t xml:space="preserve"> </w:t>
      </w:r>
      <w:r>
        <w:t xml:space="preserve">Europe Focused</w:t>
      </w:r>
    </w:p>
    <w:bookmarkEnd w:id="31"/>
    <w:bookmarkStart w:id="32" w:name="allocation"/>
    <w:p>
      <w:pPr>
        <w:pStyle w:val="Heading3"/>
      </w:pPr>
      <w:r>
        <w:t xml:space="preserve">3.4 Allocation</w:t>
      </w:r>
    </w:p>
    <w:p>
      <w:pPr>
        <w:pStyle w:val="FirstParagraph"/>
      </w:pPr>
      <w:r>
        <w:t xml:space="preserve">Emissions from shared processes are allocated to the functional unit based on mass allocation where appropriate. For the Bill of Materials, the provided "Total Carbon" values inherently include an allocation to the specific quantity of material for the functional unit.</w:t>
      </w:r>
    </w:p>
    <w:p>
      <w:r>
        <w:pict>
          <v:rect style="width:0;height:1.5pt" o:hralign="center" o:hrstd="t" o:hr="t"/>
        </w:pict>
      </w:r>
    </w:p>
    <w:bookmarkEnd w:id="32"/>
    <w:bookmarkEnd w:id="33"/>
    <w:bookmarkStart w:id="39" w:name="X1b7031aaf9d3ec7631c8b88e4e268c4190343e5"/>
    <w:p>
      <w:pPr>
        <w:pStyle w:val="Heading2"/>
      </w:pPr>
      <w:r>
        <w:t xml:space="preserve">4. Lifecycle Mapping &amp; Data Collection (Steps 2 &amp; 3)</w:t>
      </w:r>
    </w:p>
    <w:p>
      <w:pPr>
        <w:pStyle w:val="FirstParagraph"/>
      </w:pPr>
      <w:r>
        <w:t xml:space="preserve">This section details the inventory stages of the product\'s lifecycle and the data collected for emissions calculation.</w:t>
      </w:r>
    </w:p>
    <w:bookmarkStart w:id="34" w:name="detailed-bill-of-materials-bom-analysis"/>
    <w:p>
      <w:pPr>
        <w:pStyle w:val="Heading3"/>
      </w:pPr>
      <w:r>
        <w:t xml:space="preserve">4.1 Detailed Bill of Materials (BOM) Analysis</w:t>
      </w:r>
    </w:p>
    <w:p>
      <w:pPr>
        <w:pStyle w:val="FirstParagraph"/>
      </w:pPr>
      <w:r>
        <w:t xml:space="preserve">The following Detailed Bill of Materials (BOM) provides the basis for calculating emissions from material acquisition and processing (Scope 3 - Upstream). The \'Total Carbon\' column represents the pre-calculated CO2e for each material item, which will be directly used in the overall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MAT002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MAT004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t xml:space="preserve">Total Material Carbon Footprint: 6.0 + 1.05 + 5.0 + 0.4 + 0.3 =</w:t>
      </w:r>
      <w:r>
        <w:t xml:space="preserve"> </w:t>
      </w:r>
      <w:r>
        <w:t xml:space="preserve">12.75 kgCO2e</w:t>
      </w:r>
      <w:r>
        <w:t xml:space="preserve">.</w:t>
      </w:r>
    </w:p>
    <w:bookmarkEnd w:id="34"/>
    <w:bookmarkStart w:id="35" w:name="manufacturingproduction-energy-inputs"/>
    <w:p>
      <w:pPr>
        <w:pStyle w:val="Heading3"/>
      </w:pPr>
      <w:r>
        <w:t xml:space="preserve">4.2 Manufacturing/Production Energy Inputs</w:t>
      </w:r>
    </w:p>
    <w:p>
      <w:pPr>
        <w:pStyle w:val="FirstParagraph"/>
      </w:pPr>
      <w:r>
        <w:t xml:space="preserve">Energy consumption during the production phase contributes to both Scope 1 (direct combustion, if applicable) and Scope 2 (purchased electricity) emissions.</w:t>
      </w:r>
    </w:p>
    <w:p>
      <w:pPr>
        <w:numPr>
          <w:ilvl w:val="0"/>
          <w:numId w:val="1003"/>
        </w:numPr>
        <w:pStyle w:val="Compact"/>
      </w:pPr>
      <w:r>
        <w:t xml:space="preserve">Energy Intensity (kWh/unit):</w:t>
      </w:r>
      <w:r>
        <w:t xml:space="preserve"> </w:t>
      </w:r>
      <w:r>
        <w:t xml:space="preserve">xsvnnmhusx (e.g., 10 kWh/unit)</w:t>
      </w:r>
    </w:p>
    <w:p>
      <w:pPr>
        <w:numPr>
          <w:ilvl w:val="0"/>
          <w:numId w:val="1003"/>
        </w:numPr>
        <w:pStyle w:val="Compact"/>
      </w:pPr>
      <w:r>
        <w:t xml:space="preserve">Renewable Energy Usage:</w:t>
      </w:r>
      <w:r>
        <w:t xml:space="preserve"> </w:t>
      </w:r>
      <w:r>
        <w:t xml:space="preserve">owyiqpzeif (e.g., 60%)</w:t>
      </w:r>
    </w:p>
    <w:p>
      <w:pPr>
        <w:pStyle w:val="FirstParagraph"/>
      </w:pPr>
      <w:r>
        <w:t xml:space="preserve">For calculations, we assume the specific numerical values for `xsvnnmhusx` (e.g., 10 kWh/unit) and `owyiqpzeif` (e.g., 60%). The remaining energy (100% - owyiqpzeif) is assumed to be sourced from the national grid mix of China.</w:t>
      </w:r>
    </w:p>
    <w:p>
      <w:pPr>
        <w:pStyle w:val="BodyText"/>
      </w:pPr>
      <w:r>
        <w:t xml:space="preserve">Assumed China National Average Electricity Carbon Footprint Factor (2023):</w:t>
      </w:r>
      <w:r>
        <w:t xml:space="preserve"> </w:t>
      </w:r>
      <w:r>
        <w:t xml:space="preserve">0.6205 kgCO2e/kWh.</w:t>
      </w:r>
    </w:p>
    <w:bookmarkEnd w:id="35"/>
    <w:bookmarkStart w:id="36" w:name="transportation-data"/>
    <w:p>
      <w:pPr>
        <w:pStyle w:val="Heading3"/>
      </w:pPr>
      <w:r>
        <w:t xml:space="preserve">4.3 Transportation Data</w:t>
      </w:r>
    </w:p>
    <w:p>
      <w:pPr>
        <w:pStyle w:val="FirstParagraph"/>
      </w:pPr>
      <w:r>
        <w:t xml:space="preserve">Logistics data is crucial for assessing upstream and downstream transportation emissions (Scope 3).</w:t>
      </w:r>
    </w:p>
    <w:p>
      <w:pPr>
        <w:numPr>
          <w:ilvl w:val="0"/>
          <w:numId w:val="1004"/>
        </w:numPr>
        <w:pStyle w:val="Compact"/>
      </w:pPr>
      <w:r>
        <w:t xml:space="preserve">Primary Transport Mode:</w:t>
      </w:r>
      <w:r>
        <w:t xml:space="preserve"> </w:t>
      </w:r>
      <w:r>
        <w:t xml:space="preserve">Select Mode (e.g., Road Freight)</w:t>
      </w:r>
    </w:p>
    <w:p>
      <w:pPr>
        <w:numPr>
          <w:ilvl w:val="0"/>
          <w:numId w:val="1004"/>
        </w:numPr>
        <w:pStyle w:val="Compact"/>
      </w:pPr>
      <w:r>
        <w:t xml:space="preserve">Transport Distance:</w:t>
      </w:r>
      <w:r>
        <w:t xml:space="preserve"> </w:t>
      </w:r>
      <w:r>
        <w:t xml:space="preserve">eilqtfopvp (e.g., 5000 km)</w:t>
      </w:r>
    </w:p>
    <w:p>
      <w:pPr>
        <w:numPr>
          <w:ilvl w:val="0"/>
          <w:numId w:val="1004"/>
        </w:numPr>
        <w:pStyle w:val="Compact"/>
      </w:pPr>
      <w:r>
        <w:t xml:space="preserve">Last-Mile Delivery Channel:</w:t>
      </w:r>
      <w:r>
        <w:t xml:space="preserve"> </w:t>
      </w:r>
      <w:r>
        <w:t xml:space="preserve">Delivery Type (e.g., Light Commercial Vehicle)</w:t>
      </w:r>
    </w:p>
    <w:p>
      <w:pPr>
        <w:pStyle w:val="FirstParagraph"/>
      </w:pPr>
      <w:r>
        <w:t xml:space="preserve">For calculations, we will assume a generic product weight of 1 kg for transport calculations and use a representative emission factor for road freight given the "Europe Focused" supply chain.</w:t>
      </w:r>
    </w:p>
    <w:p>
      <w:pPr>
        <w:pStyle w:val="BodyText"/>
      </w:pPr>
      <w:r>
        <w:t xml:space="preserve">Assumed Road Freight Emission Factor:</w:t>
      </w:r>
      <w:r>
        <w:t xml:space="preserve"> </w:t>
      </w:r>
      <w:r>
        <w:t xml:space="preserve">0.062 kgCO2/tonne-km.</w:t>
      </w:r>
    </w:p>
    <w:bookmarkEnd w:id="36"/>
    <w:bookmarkStart w:id="37" w:name="use-phase-data"/>
    <w:p>
      <w:pPr>
        <w:pStyle w:val="Heading3"/>
      </w:pPr>
      <w:r>
        <w:t xml:space="preserve">4.4 Use-Phase Data</w:t>
      </w:r>
    </w:p>
    <w:p>
      <w:pPr>
        <w:pStyle w:val="FirstParagraph"/>
      </w:pPr>
      <w:r>
        <w:t xml:space="preserve">Emissions during the product\'s use are a significant component of its lifecycle footprint (Scope 3 - Downstream).</w:t>
      </w:r>
    </w:p>
    <w:p>
      <w:pPr>
        <w:numPr>
          <w:ilvl w:val="0"/>
          <w:numId w:val="1005"/>
        </w:numPr>
        <w:pStyle w:val="Compact"/>
      </w:pPr>
      <w:r>
        <w:t xml:space="preserve">Product Lifespan:</w:t>
      </w:r>
      <w:r>
        <w:t xml:space="preserve"> </w:t>
      </w:r>
      <w:r>
        <w:t xml:space="preserve">fvouxffkgh (e.g., 5 years)</w:t>
      </w:r>
    </w:p>
    <w:p>
      <w:pPr>
        <w:numPr>
          <w:ilvl w:val="0"/>
          <w:numId w:val="1005"/>
        </w:numPr>
        <w:pStyle w:val="Compact"/>
      </w:pPr>
      <w:r>
        <w:t xml:space="preserve">Energy Consumption in Use:</w:t>
      </w:r>
      <w:r>
        <w:t xml:space="preserve"> </w:t>
      </w:r>
      <w:r>
        <w:t xml:space="preserve">jwwxrnistz (e.g., 20 kWh/year)</w:t>
      </w:r>
    </w:p>
    <w:p>
      <w:pPr>
        <w:pStyle w:val="FirstParagraph"/>
      </w:pPr>
      <w:r>
        <w:t xml:space="preserve">For calculations, we will use the assumed numerical values for `fvouxffkgh` (e.g., 5 years) and `jwwxrnistz` (e.g., 20 kWh/year). The electricity consumed during the use phase is assumed to be from the national grid mix of the final production country (China).</w:t>
      </w:r>
    </w:p>
    <w:p>
      <w:pPr>
        <w:pStyle w:val="BodyText"/>
      </w:pPr>
      <w:r>
        <w:t xml:space="preserve">Assumed China National Average Electricity Carbon Footprint Factor (2023):</w:t>
      </w:r>
      <w:r>
        <w:t xml:space="preserve"> </w:t>
      </w:r>
      <w:r>
        <w:t xml:space="preserve">0.6205 kgCO2e/kWh.</w:t>
      </w:r>
    </w:p>
    <w:bookmarkEnd w:id="37"/>
    <w:bookmarkStart w:id="38" w:name="end-of-life-eol-scenarios"/>
    <w:p>
      <w:pPr>
        <w:pStyle w:val="Heading3"/>
      </w:pPr>
      <w:r>
        <w:t xml:space="preserve">4.5 End-of-Life (EoL) Scenarios</w:t>
      </w:r>
    </w:p>
    <w:p>
      <w:pPr>
        <w:pStyle w:val="FirstParagraph"/>
      </w:pPr>
      <w:r>
        <w:t xml:space="preserve">End-of-life management profoundly influences the overall environmental impact (Scope 3 - Downstream).</w:t>
      </w:r>
    </w:p>
    <w:p>
      <w:pPr>
        <w:numPr>
          <w:ilvl w:val="0"/>
          <w:numId w:val="1006"/>
        </w:numPr>
        <w:pStyle w:val="Compact"/>
      </w:pPr>
      <w:r>
        <w:t xml:space="preserve">Recyclability Percentage:</w:t>
      </w:r>
      <w:r>
        <w:t xml:space="preserve"> </w:t>
      </w:r>
      <w:r>
        <w:t xml:space="preserve">nxnsstxhhi (e.g., 70%)</w:t>
      </w:r>
    </w:p>
    <w:p>
      <w:pPr>
        <w:numPr>
          <w:ilvl w:val="0"/>
          <w:numId w:val="1006"/>
        </w:numPr>
        <w:pStyle w:val="Compact"/>
      </w:pPr>
      <w:r>
        <w:t xml:space="preserve">Circular/Take-back Programs:</w:t>
      </w:r>
      <w:r>
        <w:t xml:space="preserve"> </w:t>
      </w:r>
      <w:r>
        <w:t xml:space="preserve">xvtnuzuggi (e.g., Yes, comprehensive take-back program)</w:t>
      </w:r>
    </w:p>
    <w:p>
      <w:pPr>
        <w:pStyle w:val="FirstParagraph"/>
      </w:pPr>
      <w:r>
        <w:t xml:space="preserve">For calculations, we will assume numerical values for `nxnsstxhhi` (e.g., 70%). Emissions from waste disposal (landfill/incineration) will be calculated for the non-recycled portion, and avoided emissions from recycling will be credited where applicable.</w:t>
      </w:r>
    </w:p>
    <w:p>
      <w:r>
        <w:pict>
          <v:rect style="width:0;height:1.5pt" o:hralign="center" o:hrstd="t" o:hr="t"/>
        </w:pict>
      </w:r>
    </w:p>
    <w:bookmarkEnd w:id="38"/>
    <w:bookmarkEnd w:id="39"/>
    <w:bookmarkStart w:id="49" w:name="emissions-calculation-step-4"/>
    <w:p>
      <w:pPr>
        <w:pStyle w:val="Heading2"/>
      </w:pPr>
      <w:r>
        <w:t xml:space="preserve">5. Emissions Calculation (Step 4)</w:t>
      </w:r>
    </w:p>
    <w:p>
      <w:pPr>
        <w:pStyle w:val="FirstParagraph"/>
      </w:pPr>
      <w:r>
        <w:t xml:space="preserve">Emissions are calculated based on the activity data and appropriate emission factors, categorized according to the GHG Protocol. All results are expressed in kilograms of carbon dioxide equivalent (kgCO2e).</w:t>
      </w:r>
    </w:p>
    <w:bookmarkStart w:id="40" w:name="assumptions-for-calculation"/>
    <w:p>
      <w:pPr>
        <w:pStyle w:val="Heading3"/>
      </w:pPr>
      <w:r>
        <w:t xml:space="preserve">5.1 Assumptions for Calculation</w:t>
      </w:r>
    </w:p>
    <w:p>
      <w:pPr>
        <w:pStyle w:val="FirstParagraph"/>
      </w:pPr>
      <w:r>
        <w:t xml:space="preserve">To provide illustrative calculations based on the generic parameters, the following numerical assumptions are made:</w:t>
      </w:r>
    </w:p>
    <w:p>
      <w:pPr>
        <w:numPr>
          <w:ilvl w:val="0"/>
          <w:numId w:val="1007"/>
        </w:numPr>
        <w:pStyle w:val="Compact"/>
      </w:pPr>
      <w:r>
        <w:t xml:space="preserve">Energy Intensity (xsvnnmhusx):</w:t>
      </w:r>
      <w:r>
        <w:t xml:space="preserve"> </w:t>
      </w:r>
      <w:r>
        <w:t xml:space="preserve">10 kWh/unit</w:t>
      </w:r>
    </w:p>
    <w:p>
      <w:pPr>
        <w:numPr>
          <w:ilvl w:val="0"/>
          <w:numId w:val="1007"/>
        </w:numPr>
        <w:pStyle w:val="Compact"/>
      </w:pPr>
      <w:r>
        <w:t xml:space="preserve">Renewable Energy Usage (owyiqpzeif):</w:t>
      </w:r>
      <w:r>
        <w:t xml:space="preserve"> </w:t>
      </w:r>
      <w:r>
        <w:t xml:space="preserve">60% (0.60)</w:t>
      </w:r>
    </w:p>
    <w:p>
      <w:pPr>
        <w:numPr>
          <w:ilvl w:val="0"/>
          <w:numId w:val="1007"/>
        </w:numPr>
        <w:pStyle w:val="Compact"/>
      </w:pPr>
      <w:r>
        <w:t xml:space="preserve">Transport Mode (Select Mode):</w:t>
      </w:r>
      <w:r>
        <w:t xml:space="preserve"> </w:t>
      </w:r>
      <w:r>
        <w:t xml:space="preserve">Road Freight</w:t>
      </w:r>
    </w:p>
    <w:p>
      <w:pPr>
        <w:numPr>
          <w:ilvl w:val="0"/>
          <w:numId w:val="1007"/>
        </w:numPr>
        <w:pStyle w:val="Compact"/>
      </w:pPr>
      <w:r>
        <w:t xml:space="preserve">Transport Distance (eilqtfopvp):</w:t>
      </w:r>
      <w:r>
        <w:t xml:space="preserve"> </w:t>
      </w:r>
      <w:r>
        <w:t xml:space="preserve">5000 km (for upstream transport from Europe to China)</w:t>
      </w:r>
    </w:p>
    <w:p>
      <w:pPr>
        <w:numPr>
          <w:ilvl w:val="0"/>
          <w:numId w:val="1007"/>
        </w:numPr>
        <w:pStyle w:val="Compact"/>
      </w:pPr>
      <w:r>
        <w:t xml:space="preserve">Last-Mile Delivery Channel (Delivery Type):</w:t>
      </w:r>
      <w:r>
        <w:t xml:space="preserve"> </w:t>
      </w:r>
      <w:r>
        <w:t xml:space="preserve">Light Commercial Vehicle</w:t>
      </w:r>
    </w:p>
    <w:p>
      <w:pPr>
        <w:numPr>
          <w:ilvl w:val="0"/>
          <w:numId w:val="1007"/>
        </w:numPr>
        <w:pStyle w:val="Compact"/>
      </w:pPr>
      <w:r>
        <w:t xml:space="preserve">Product Weight for Transport:</w:t>
      </w:r>
      <w:r>
        <w:t xml:space="preserve"> </w:t>
      </w:r>
      <w:r>
        <w:t xml:space="preserve">1.0 kg (0.001 tonne)</w:t>
      </w:r>
    </w:p>
    <w:p>
      <w:pPr>
        <w:numPr>
          <w:ilvl w:val="0"/>
          <w:numId w:val="1007"/>
        </w:numPr>
        <w:pStyle w:val="Compact"/>
      </w:pPr>
      <w:r>
        <w:t xml:space="preserve">Product Lifespan (fvouxffkgh):</w:t>
      </w:r>
      <w:r>
        <w:t xml:space="preserve"> </w:t>
      </w:r>
      <w:r>
        <w:t xml:space="preserve">5 years</w:t>
      </w:r>
    </w:p>
    <w:p>
      <w:pPr>
        <w:numPr>
          <w:ilvl w:val="0"/>
          <w:numId w:val="1007"/>
        </w:numPr>
        <w:pStyle w:val="Compact"/>
      </w:pPr>
      <w:r>
        <w:t xml:space="preserve">Energy Consumption in Use (jwwxrnistz):</w:t>
      </w:r>
      <w:r>
        <w:t xml:space="preserve"> </w:t>
      </w:r>
      <w:r>
        <w:t xml:space="preserve">20 kWh/year</w:t>
      </w:r>
    </w:p>
    <w:p>
      <w:pPr>
        <w:numPr>
          <w:ilvl w:val="0"/>
          <w:numId w:val="1007"/>
        </w:numPr>
        <w:pStyle w:val="Compact"/>
      </w:pPr>
      <w:r>
        <w:t xml:space="preserve">Recyclability Percentage (nxnsstxhhi):</w:t>
      </w:r>
      <w:r>
        <w:t xml:space="preserve"> </w:t>
      </w:r>
      <w:r>
        <w:t xml:space="preserve">70% (0.70)</w:t>
      </w:r>
    </w:p>
    <w:p>
      <w:pPr>
        <w:numPr>
          <w:ilvl w:val="0"/>
          <w:numId w:val="1007"/>
        </w:numPr>
        <w:pStyle w:val="Compact"/>
      </w:pPr>
      <w:r>
        <w:t xml:space="preserve">Emission Factor for non-recycled waste (landfill/incineration):</w:t>
      </w:r>
      <w:r>
        <w:t xml:space="preserve"> </w:t>
      </w:r>
      <w:r>
        <w:t xml:space="preserve">1.0 kgCO2e/kg (illustrative)</w:t>
      </w:r>
    </w:p>
    <w:p>
      <w:pPr>
        <w:numPr>
          <w:ilvl w:val="0"/>
          <w:numId w:val="1007"/>
        </w:numPr>
        <w:pStyle w:val="Compact"/>
      </w:pPr>
      <w:r>
        <w:t xml:space="preserve">Avoided Emission Factor for recycling:</w:t>
      </w:r>
      <w:r>
        <w:t xml:space="preserve"> </w:t>
      </w:r>
      <w:r>
        <w:t xml:space="preserve">-2.0 kgCO2e/kg (illustrative, for the recycled portion)</w:t>
      </w:r>
    </w:p>
    <w:bookmarkEnd w:id="40"/>
    <w:bookmarkStart w:id="43" w:name="scope-3-upstream-emissions"/>
    <w:p>
      <w:pPr>
        <w:pStyle w:val="Heading3"/>
      </w:pPr>
      <w:r>
        <w:t xml:space="preserve">5.2 Scope 3: Upstream Emissions</w:t>
      </w:r>
    </w:p>
    <w:bookmarkStart w:id="41" w:name="material-acquisition-and-pre-processing"/>
    <w:p>
      <w:pPr>
        <w:pStyle w:val="Heading4"/>
      </w:pPr>
      <w:r>
        <w:t xml:space="preserve">5.2.1 Material Acquisition and Pre-processing</w:t>
      </w:r>
    </w:p>
    <w:p>
      <w:pPr>
        <w:pStyle w:val="FirstParagraph"/>
      </w:pPr>
      <w:r>
        <w:t xml:space="preserve">Using the \'Total Carbon\' values directly from the provided BOM:</w:t>
      </w:r>
    </w:p>
    <w:p>
      <w:pPr>
        <w:numPr>
          <w:ilvl w:val="0"/>
          <w:numId w:val="1008"/>
        </w:numPr>
        <w:pStyle w:val="Compact"/>
      </w:pPr>
      <w:r>
        <w:t xml:space="preserve">Aluminium Casing: 6.0 kgCO2e</w:t>
      </w:r>
    </w:p>
    <w:p>
      <w:pPr>
        <w:numPr>
          <w:ilvl w:val="0"/>
          <w:numId w:val="1008"/>
        </w:numPr>
        <w:pStyle w:val="Compact"/>
      </w:pPr>
      <w:r>
        <w:t xml:space="preserve">Plastic Enclosure: 1.05 kgCO2e</w:t>
      </w:r>
    </w:p>
    <w:p>
      <w:pPr>
        <w:numPr>
          <w:ilvl w:val="0"/>
          <w:numId w:val="1008"/>
        </w:numPr>
        <w:pStyle w:val="Compact"/>
      </w:pPr>
      <w:r>
        <w:t xml:space="preserve">Circuit Board: 5.0 kgCO2e</w:t>
      </w:r>
    </w:p>
    <w:p>
      <w:pPr>
        <w:numPr>
          <w:ilvl w:val="0"/>
          <w:numId w:val="1008"/>
        </w:numPr>
        <w:pStyle w:val="Compact"/>
      </w:pPr>
      <w:r>
        <w:t xml:space="preserve">Wiring: 0.4 kgCO2e</w:t>
      </w:r>
    </w:p>
    <w:p>
      <w:pPr>
        <w:numPr>
          <w:ilvl w:val="0"/>
          <w:numId w:val="1008"/>
        </w:numPr>
        <w:pStyle w:val="Compact"/>
      </w:pPr>
      <w:r>
        <w:t xml:space="preserve">Packaging (Cardboard): 0.3 kgCO2e</w:t>
      </w:r>
    </w:p>
    <w:p>
      <w:pPr>
        <w:pStyle w:val="FirstParagraph"/>
      </w:pPr>
      <w:r>
        <w:t xml:space="preserve">Total Material Emissions = 12.75 kgCO2e</w:t>
      </w:r>
    </w:p>
    <w:bookmarkEnd w:id="41"/>
    <w:bookmarkStart w:id="42" w:name="upstream-transportation"/>
    <w:p>
      <w:pPr>
        <w:pStyle w:val="Heading4"/>
      </w:pPr>
      <w:r>
        <w:t xml:space="preserve">5.2.2 Upstream Transportation</w:t>
      </w:r>
    </w:p>
    <w:p>
      <w:pPr>
        <w:pStyle w:val="FirstParagraph"/>
      </w:pPr>
      <w:r>
        <w:t xml:space="preserve">Calculation based on assumed values:</w:t>
      </w:r>
    </w:p>
    <w:p>
      <w:pPr>
        <w:numPr>
          <w:ilvl w:val="0"/>
          <w:numId w:val="1009"/>
        </w:numPr>
        <w:pStyle w:val="Compact"/>
      </w:pPr>
      <w:r>
        <w:t xml:space="preserve">Product Weight: 0.001 tonne (1 kg)</w:t>
      </w:r>
    </w:p>
    <w:p>
      <w:pPr>
        <w:numPr>
          <w:ilvl w:val="0"/>
          <w:numId w:val="1009"/>
        </w:numPr>
        <w:pStyle w:val="Compact"/>
      </w:pPr>
      <w:r>
        <w:t xml:space="preserve">Transport Distance: 5000 km</w:t>
      </w:r>
    </w:p>
    <w:p>
      <w:pPr>
        <w:numPr>
          <w:ilvl w:val="0"/>
          <w:numId w:val="1009"/>
        </w:numPr>
        <w:pStyle w:val="Compact"/>
      </w:pPr>
      <w:r>
        <w:t xml:space="preserve">Emission Factor (Road Freight): 0.062 kgCO2/tonne-km</w:t>
      </w:r>
    </w:p>
    <w:p>
      <w:pPr>
        <w:pStyle w:val="FirstParagraph"/>
      </w:pPr>
      <w:r>
        <w:t xml:space="preserve">Upstream Transport Emissions = 0.001 tonne * 5000 km * 0.062 kgCO2/tonne-km =</w:t>
      </w:r>
      <w:r>
        <w:t xml:space="preserve"> </w:t>
      </w:r>
      <w:r>
        <w:t xml:space="preserve">0.31 kgCO2e</w:t>
      </w:r>
    </w:p>
    <w:bookmarkEnd w:id="42"/>
    <w:bookmarkEnd w:id="43"/>
    <w:bookmarkStart w:id="44" w:name="scope-1-2-production-emissions"/>
    <w:p>
      <w:pPr>
        <w:pStyle w:val="Heading3"/>
      </w:pPr>
      <w:r>
        <w:t xml:space="preserve">5.3 Scope 1 &amp; 2: Production Emissions</w:t>
      </w:r>
    </w:p>
    <w:p>
      <w:pPr>
        <w:pStyle w:val="FirstParagraph"/>
      </w:pPr>
      <w:r>
        <w:t xml:space="preserve">Calculation for production energy:</w:t>
      </w:r>
    </w:p>
    <w:p>
      <w:pPr>
        <w:numPr>
          <w:ilvl w:val="0"/>
          <w:numId w:val="1010"/>
        </w:numPr>
        <w:pStyle w:val="Compact"/>
      </w:pPr>
      <w:r>
        <w:t xml:space="preserve">Total Energy Intensity: 10 kWh/unit (xsvnnmhusx)</w:t>
      </w:r>
    </w:p>
    <w:p>
      <w:pPr>
        <w:numPr>
          <w:ilvl w:val="0"/>
          <w:numId w:val="1010"/>
        </w:numPr>
        <w:pStyle w:val="Compact"/>
      </w:pPr>
      <w:r>
        <w:t xml:space="preserve">Renewable Energy Usage: 60% (owyiqpzeif)</w:t>
      </w:r>
    </w:p>
    <w:p>
      <w:pPr>
        <w:numPr>
          <w:ilvl w:val="0"/>
          <w:numId w:val="1010"/>
        </w:numPr>
        <w:pStyle w:val="Compact"/>
      </w:pPr>
      <w:r>
        <w:t xml:space="preserve">Non-renewable energy: 10 kWh/unit * (1 - 0.60) = 4 kWh/unit</w:t>
      </w:r>
    </w:p>
    <w:p>
      <w:pPr>
        <w:numPr>
          <w:ilvl w:val="0"/>
          <w:numId w:val="1010"/>
        </w:numPr>
        <w:pStyle w:val="Compact"/>
      </w:pPr>
      <w:r>
        <w:t xml:space="preserve">China Grid Emission Factor: 0.6205 kgCO2e/kWh</w:t>
      </w:r>
    </w:p>
    <w:p>
      <w:pPr>
        <w:pStyle w:val="FirstParagraph"/>
      </w:pPr>
      <w:r>
        <w:t xml:space="preserve">Production Energy Emissions = 4 kWh/unit * 0.6205 kgCO2e/kWh =</w:t>
      </w:r>
      <w:r>
        <w:t xml:space="preserve"> </w:t>
      </w:r>
      <w:r>
        <w:t xml:space="preserve">2.482 kgCO2e</w:t>
      </w:r>
    </w:p>
    <w:bookmarkEnd w:id="44"/>
    <w:bookmarkStart w:id="47" w:name="scope-3-downstream-emissions"/>
    <w:p>
      <w:pPr>
        <w:pStyle w:val="Heading3"/>
      </w:pPr>
      <w:r>
        <w:t xml:space="preserve">5.4 Scope 3: Downstream Emissions</w:t>
      </w:r>
    </w:p>
    <w:bookmarkStart w:id="45" w:name="use-phase-emissions"/>
    <w:p>
      <w:pPr>
        <w:pStyle w:val="Heading4"/>
      </w:pPr>
      <w:r>
        <w:t xml:space="preserve">5.4.1 Use-Phase Emissions</w:t>
      </w:r>
    </w:p>
    <w:p>
      <w:pPr>
        <w:pStyle w:val="FirstParagraph"/>
      </w:pPr>
      <w:r>
        <w:t xml:space="preserve">Calculation for product use over its lifespan:</w:t>
      </w:r>
    </w:p>
    <w:p>
      <w:pPr>
        <w:numPr>
          <w:ilvl w:val="0"/>
          <w:numId w:val="1011"/>
        </w:numPr>
        <w:pStyle w:val="Compact"/>
      </w:pPr>
      <w:r>
        <w:t xml:space="preserve">Energy Consumption in Use: 20 kWh/year (jwwxrnistz)</w:t>
      </w:r>
    </w:p>
    <w:p>
      <w:pPr>
        <w:numPr>
          <w:ilvl w:val="0"/>
          <w:numId w:val="1011"/>
        </w:numPr>
        <w:pStyle w:val="Compact"/>
      </w:pPr>
      <w:r>
        <w:t xml:space="preserve">Product Lifespan: 5 years (fvouxffkgh)</w:t>
      </w:r>
    </w:p>
    <w:p>
      <w:pPr>
        <w:numPr>
          <w:ilvl w:val="0"/>
          <w:numId w:val="1011"/>
        </w:numPr>
        <w:pStyle w:val="Compact"/>
      </w:pPr>
      <w:r>
        <w:t xml:space="preserve">Total Energy Consumption: 20 kWh/year * 5 years = 100 kWh/unit</w:t>
      </w:r>
    </w:p>
    <w:p>
      <w:pPr>
        <w:numPr>
          <w:ilvl w:val="0"/>
          <w:numId w:val="1011"/>
        </w:numPr>
        <w:pStyle w:val="Compact"/>
      </w:pPr>
      <w:r>
        <w:t xml:space="preserve">China Grid Emission Factor: 0.6205 kgCO2e/kWh</w:t>
      </w:r>
    </w:p>
    <w:p>
      <w:pPr>
        <w:pStyle w:val="FirstParagraph"/>
      </w:pPr>
      <w:r>
        <w:t xml:space="preserve">Use-Phase Emissions = 100 kWh/unit * 0.6205 kgCO2e/kWh =</w:t>
      </w:r>
      <w:r>
        <w:t xml:space="preserve"> </w:t>
      </w:r>
      <w:r>
        <w:t xml:space="preserve">62.05 kgCO2e</w:t>
      </w:r>
    </w:p>
    <w:bookmarkEnd w:id="45"/>
    <w:bookmarkStart w:id="46" w:name="end-of-life-eol-emissions"/>
    <w:p>
      <w:pPr>
        <w:pStyle w:val="Heading4"/>
      </w:pPr>
      <w:r>
        <w:t xml:space="preserve">5.4.2 End-of-Life (EoL) Emissions</w:t>
      </w:r>
    </w:p>
    <w:p>
      <w:pPr>
        <w:pStyle w:val="FirstParagraph"/>
      </w:pPr>
      <w:r>
        <w:t xml:space="preserve">Calculation for end-of-life scenarios. Assuming the product has a total mass of 1.0 kg (from BOM sum for illustrative EoL):</w:t>
      </w:r>
    </w:p>
    <w:p>
      <w:pPr>
        <w:numPr>
          <w:ilvl w:val="0"/>
          <w:numId w:val="1012"/>
        </w:numPr>
        <w:pStyle w:val="Compact"/>
      </w:pPr>
      <w:r>
        <w:t xml:space="preserve">Total Product Mass (illustrative): 1.0 kg</w:t>
      </w:r>
    </w:p>
    <w:p>
      <w:pPr>
        <w:numPr>
          <w:ilvl w:val="0"/>
          <w:numId w:val="1012"/>
        </w:numPr>
        <w:pStyle w:val="Compact"/>
      </w:pPr>
      <w:r>
        <w:t xml:space="preserve">Recyclability Percentage: 70% (nxnsstxhhi)</w:t>
      </w:r>
    </w:p>
    <w:p>
      <w:pPr>
        <w:numPr>
          <w:ilvl w:val="0"/>
          <w:numId w:val="1012"/>
        </w:numPr>
        <w:pStyle w:val="Compact"/>
      </w:pPr>
      <w:r>
        <w:t xml:space="preserve">Mass Recycled: 1.0 kg * 0.70 = 0.7 kg</w:t>
      </w:r>
    </w:p>
    <w:p>
      <w:pPr>
        <w:numPr>
          <w:ilvl w:val="0"/>
          <w:numId w:val="1012"/>
        </w:numPr>
        <w:pStyle w:val="Compact"/>
      </w:pPr>
      <w:r>
        <w:t xml:space="preserve">Mass Disposed (non-recycled): 1.0 kg * (1 - 0.70) = 0.3 kg</w:t>
      </w:r>
    </w:p>
    <w:p>
      <w:pPr>
        <w:numPr>
          <w:ilvl w:val="0"/>
          <w:numId w:val="1012"/>
        </w:numPr>
        <w:pStyle w:val="Compact"/>
      </w:pPr>
      <w:r>
        <w:t xml:space="preserve">Emission Factor for Disposal: 1.0 kgCO2e/kg</w:t>
      </w:r>
    </w:p>
    <w:p>
      <w:pPr>
        <w:numPr>
          <w:ilvl w:val="0"/>
          <w:numId w:val="1012"/>
        </w:numPr>
        <w:pStyle w:val="Compact"/>
      </w:pPr>
      <w:r>
        <w:t xml:space="preserve">Avoided Emission Factor for Recycling: -2.0 kgCO2e/kg</w:t>
      </w:r>
    </w:p>
    <w:p>
      <w:pPr>
        <w:pStyle w:val="FirstParagraph"/>
      </w:pPr>
      <w:r>
        <w:t xml:space="preserve">EoL Disposal Emissions = 0.3 kg * 1.0 kgCO2e/kg = 0.3 kgCO2e</w:t>
      </w:r>
      <w:r>
        <w:br/>
      </w:r>
      <w:r>
        <w:t xml:space="preserve">EoL Avoided Emissions from Recycling = 0.7 kg * (-2.0 kgCO2e/kg) = -1.4 kgCO2e</w:t>
      </w:r>
    </w:p>
    <w:p>
      <w:pPr>
        <w:pStyle w:val="BodyText"/>
      </w:pPr>
      <w:r>
        <w:t xml:space="preserve">Total End-of-Life Emissions = 0.3 kgCO2e + (-1.4 kgCO2e) = -1.1 kgCO2e</w:t>
      </w:r>
      <w:r>
        <w:t xml:space="preserve"> </w:t>
      </w:r>
      <w:r>
        <w:t xml:space="preserve">(a net carbon removal/credit)</w:t>
      </w:r>
    </w:p>
    <w:bookmarkEnd w:id="46"/>
    <w:bookmarkEnd w:id="47"/>
    <w:bookmarkStart w:id="48" w:name="summary-of-product-carbon-footprint"/>
    <w:p>
      <w:pPr>
        <w:pStyle w:val="Heading3"/>
      </w:pPr>
      <w:r>
        <w:t xml:space="preserve">5.5 Summary of Product Carbon Footprint</w:t>
      </w:r>
    </w:p>
    <w:p>
      <w:pPr>
        <w:pStyle w:val="FirstParagraph"/>
      </w:pPr>
      <w:r>
        <w:t xml:space="preserve">The total Product Carbon Footprint for one functional unit of jynpxzzrif is summarized below, based on the provided parameters and assumed numerical values.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12.75</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0.31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2.482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62.05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76.492</w:t>
            </w:r>
          </w:p>
        </w:tc>
      </w:tr>
    </w:tbl>
    <w:p>
      <w:pPr>
        <w:pStyle w:val="BodyText"/>
      </w:pPr>
      <w:r>
        <w:t xml:space="preserve">Total Product Carbon Footprint (PCF) for jynpxzzrif = 76.492 kgCO2e per unit.</w:t>
      </w:r>
    </w:p>
    <w:p>
      <w:r>
        <w:pict>
          <v:rect style="width:0;height:1.5pt" o:hralign="center" o:hrstd="t" o:hr="t"/>
        </w:pict>
      </w:r>
    </w:p>
    <w:bookmarkEnd w:id="48"/>
    <w:bookmarkEnd w:id="49"/>
    <w:bookmarkStart w:id="53" w:name="review-report-step-5"/>
    <w:p>
      <w:pPr>
        <w:pStyle w:val="Heading2"/>
      </w:pPr>
      <w:r>
        <w:t xml:space="preserve">6. Review &amp; Report (Step 5)</w:t>
      </w:r>
    </w:p>
    <w:bookmarkStart w:id="50" w:name="emission-hotspots"/>
    <w:p>
      <w:pPr>
        <w:pStyle w:val="Heading3"/>
      </w:pPr>
      <w:r>
        <w:t xml:space="preserve">6.1 Emission Hotspots</w:t>
      </w:r>
    </w:p>
    <w:p>
      <w:pPr>
        <w:pStyle w:val="FirstParagraph"/>
      </w:pPr>
      <w:r>
        <w:t xml:space="preserve">Based on the calculations, the primary emission hotspots for jynpxzzrif are:</w:t>
      </w:r>
    </w:p>
    <w:p>
      <w:pPr>
        <w:numPr>
          <w:ilvl w:val="0"/>
          <w:numId w:val="1013"/>
        </w:numPr>
        <w:pStyle w:val="Compact"/>
      </w:pPr>
      <w:r>
        <w:t xml:space="preserve">Use Phase (62.05 kgCO2e):</w:t>
      </w:r>
      <w:r>
        <w:t xml:space="preserve"> </w:t>
      </w:r>
      <w:r>
        <w:t xml:space="preserve">This constitutes the largest portion of the PCF, driven by the product\'s energy consumption over its lifespan and the electricity grid mix.</w:t>
      </w:r>
    </w:p>
    <w:p>
      <w:pPr>
        <w:numPr>
          <w:ilvl w:val="0"/>
          <w:numId w:val="1013"/>
        </w:numPr>
        <w:pStyle w:val="Compact"/>
      </w:pPr>
      <w:r>
        <w:t xml:space="preserve">Material Acquisition &amp; Pre-processing (12.75 kgCO2e):</w:t>
      </w:r>
      <w:r>
        <w:t xml:space="preserve"> </w:t>
      </w:r>
      <w:r>
        <w:t xml:space="preserve">Raw material impacts, particularly from high-emission materials like aluminium, contribute significantly.</w:t>
      </w:r>
    </w:p>
    <w:p>
      <w:pPr>
        <w:numPr>
          <w:ilvl w:val="0"/>
          <w:numId w:val="1013"/>
        </w:numPr>
        <w:pStyle w:val="Compact"/>
      </w:pPr>
      <w:r>
        <w:t xml:space="preserve">Production (2.482 kgCO2e):</w:t>
      </w:r>
      <w:r>
        <w:t xml:space="preserve"> </w:t>
      </w:r>
      <w:r>
        <w:t xml:space="preserve">While reduced by 60% renewable energy usage, the remaining grid electricity still contributes.</w:t>
      </w:r>
    </w:p>
    <w:bookmarkEnd w:id="50"/>
    <w:bookmarkStart w:id="51" w:name="reliability-and-limitations"/>
    <w:p>
      <w:pPr>
        <w:pStyle w:val="Heading3"/>
      </w:pPr>
      <w:r>
        <w:t xml:space="preserve">6.2 Reliability and Limitations</w:t>
      </w:r>
    </w:p>
    <w:p>
      <w:pPr>
        <w:pStyle w:val="FirstParagraph"/>
      </w:pPr>
      <w:r>
        <w:t xml:space="preserve">The reliability of this PCF is high for the stages where specific data (e.g., BOM \'Total Carbon\') was provided. However, some aspects rely on industry average emission factors and numerical assumptions for illustrative purposes (e.g., transport distance, EoL factors).</w:t>
      </w:r>
    </w:p>
    <w:p>
      <w:pPr>
        <w:numPr>
          <w:ilvl w:val="0"/>
          <w:numId w:val="1014"/>
        </w:numPr>
        <w:pStyle w:val="Compact"/>
      </w:pPr>
      <w:r>
        <w:t xml:space="preserve">Data Gaps:</w:t>
      </w:r>
      <w:r>
        <w:t xml:space="preserve"> </w:t>
      </w:r>
      <w:r>
        <w:t xml:space="preserve">Specific emission factors for `Select Mode` and `Delivery Type` for transport were generalized. Detailed electricity mix for the production facility beyond the percentage of renewables would enhance Scope 2 accuracy.</w:t>
      </w:r>
    </w:p>
    <w:p>
      <w:pPr>
        <w:numPr>
          <w:ilvl w:val="0"/>
          <w:numId w:val="1014"/>
        </w:numPr>
        <w:pStyle w:val="Compact"/>
      </w:pPr>
      <w:r>
        <w:t xml:space="preserve">Illustrative Assumptions:</w:t>
      </w:r>
      <w:r>
        <w:t xml:space="preserve"> </w:t>
      </w:r>
      <w:r>
        <w:t xml:space="preserve">Numerical values for transport distance, product weight, EoL disposal and recycling credits were assumed to facilitate calculation.</w:t>
      </w:r>
    </w:p>
    <w:p>
      <w:pPr>
        <w:numPr>
          <w:ilvl w:val="0"/>
          <w:numId w:val="1014"/>
        </w:numPr>
        <w:pStyle w:val="Compact"/>
      </w:pPr>
      <w:r>
        <w:t xml:space="preserve">LSR Standard:</w:t>
      </w:r>
      <w:r>
        <w:t xml:space="preserve"> </w:t>
      </w:r>
      <w:r>
        <w:t xml:space="preserve">While acknowledged, detailed land-use change data specific to each raw material\'s origin were not available and represent an area for deeper analysis in subsequent assessments.</w:t>
      </w:r>
    </w:p>
    <w:bookmarkEnd w:id="51"/>
    <w:bookmarkStart w:id="52" w:name="recommendations"/>
    <w:p>
      <w:pPr>
        <w:pStyle w:val="Heading3"/>
      </w:pPr>
      <w:r>
        <w:t xml:space="preserve">6.3 Recommendations</w:t>
      </w:r>
    </w:p>
    <w:p>
      <w:pPr>
        <w:numPr>
          <w:ilvl w:val="0"/>
          <w:numId w:val="1015"/>
        </w:numPr>
        <w:pStyle w:val="Compact"/>
      </w:pPr>
      <w:r>
        <w:t xml:space="preserve">Optimize Use-Phase Energy Efficiency:</w:t>
      </w:r>
      <w:r>
        <w:t xml:space="preserve"> </w:t>
      </w:r>
      <w:r>
        <w:t xml:space="preserve">Invest in product design for lower energy consumption during usage.</w:t>
      </w:r>
    </w:p>
    <w:p>
      <w:pPr>
        <w:numPr>
          <w:ilvl w:val="0"/>
          <w:numId w:val="1015"/>
        </w:numPr>
        <w:pStyle w:val="Compact"/>
      </w:pPr>
      <w:r>
        <w:t xml:space="preserve">Increase Renewable Energy Adoption:</w:t>
      </w:r>
      <w:r>
        <w:t xml:space="preserve"> </w:t>
      </w:r>
      <w:r>
        <w:t xml:space="preserve">Explore further opportunities to increase renewable energy sourcing at manufacturing facilities and encourage low-carbon electricity grids in relevant regions.</w:t>
      </w:r>
    </w:p>
    <w:p>
      <w:pPr>
        <w:numPr>
          <w:ilvl w:val="0"/>
          <w:numId w:val="1015"/>
        </w:numPr>
        <w:pStyle w:val="Compact"/>
      </w:pPr>
      <w:r>
        <w:t xml:space="preserve">Material Optimization:</w:t>
      </w:r>
      <w:r>
        <w:t xml:space="preserve"> </w:t>
      </w:r>
      <w:r>
        <w:t xml:space="preserve">Investigate opportunities for lighter materials, recycled content, and materials with lower inherent carbon footprints.</w:t>
      </w:r>
    </w:p>
    <w:p>
      <w:pPr>
        <w:numPr>
          <w:ilvl w:val="0"/>
          <w:numId w:val="1015"/>
        </w:numPr>
        <w:pStyle w:val="Compact"/>
      </w:pPr>
      <w:r>
        <w:t xml:space="preserve">Enhance Circularity:</w:t>
      </w:r>
      <w:r>
        <w:t xml:space="preserve"> </w:t>
      </w:r>
      <w:r>
        <w:t xml:space="preserve">Leverage and expand existing circular/take-back programs (xvtnuzuggi) to maximize recycling and material recovery, further increasing avoided emissions at EoL.</w:t>
      </w:r>
    </w:p>
    <w:p>
      <w:pPr>
        <w:numPr>
          <w:ilvl w:val="0"/>
          <w:numId w:val="1015"/>
        </w:numPr>
        <w:pStyle w:val="Compact"/>
      </w:pPr>
      <w:r>
        <w:t xml:space="preserve">Primary Data Collection:</w:t>
      </w:r>
      <w:r>
        <w:t xml:space="preserve"> </w:t>
      </w:r>
      <w:r>
        <w:t xml:space="preserve">For greater accuracy, collect primary data for specific transport routes (distance, mode, load factor) and more granular EoL processing emissions/credits.</w:t>
      </w:r>
    </w:p>
    <w:p>
      <w:r>
        <w:pict>
          <v:rect style="width:0;height:1.5pt" o:hralign="center" o:hrstd="t" o:hr="t"/>
        </w:pict>
      </w:r>
    </w:p>
    <w:bookmarkEnd w:id="52"/>
    <w:bookmarkEnd w:id="53"/>
    <w:bookmarkStart w:id="55" w:name="conclusion"/>
    <w:p>
      <w:pPr>
        <w:pStyle w:val="Heading2"/>
      </w:pPr>
      <w:r>
        <w:t xml:space="preserve">7. Conclusion</w:t>
      </w:r>
    </w:p>
    <w:p>
      <w:pPr>
        <w:pStyle w:val="FirstParagraph"/>
      </w:pPr>
      <w:r>
        <w:t xml:space="preserve">This Product Carbon Footprint analysis for jynpxzzrif provides yhmfkfrgqe with critical insights into its environmental performance. By adhering to the GHG Protocol and incorporating 2026 updates, the report establishes a robust baseline for sustainability efforts. The identified hotspots highlight clear pathways for reducing the product\'s carbon footprint, supporting yhmfkfrgqe\'s commitment to a more sustainable future.</w:t>
      </w:r>
    </w:p>
    <w:p>
      <w:pPr>
        <w:pStyle w:val="BodyText"/>
      </w:pPr>
      <w:r>
        <w:t xml:space="preserve">Confidential - Internal Use Only | Page</w:t>
      </w:r>
      <w:r>
        <w:t xml:space="preserve"> </w:t>
      </w:r>
      <w:bookmarkStart w:id="54" w:name="pageNumber"/>
      <w:bookmarkEnd w:id="54"/>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jynpxzzrif</dc:title>
  <dc:creator/>
  <dc:description>High-detail Product Carbon Footprint (PCF) analysis report for jynpxzzrif, conducted by tiusylfiju for yhmfkfrgqe, adhering to GHG Protocol and 2026 LSR Update requirements.</dc:description>
  <dc:language>en</dc:language>
  <cp:keywords/>
  <dcterms:created xsi:type="dcterms:W3CDTF">2026-05-30T12:42:35Z</dcterms:created>
  <dcterms:modified xsi:type="dcterms:W3CDTF">2026-05-30T12:42:35Z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