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jxekvoqnqg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jxekvoqnqg"/>
    <w:p>
      <w:pPr>
        <w:pStyle w:val="Heading3"/>
      </w:pPr>
      <w:r>
        <w:t xml:space="preserve">Product: jxekvoqnqg</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lkvopprjvx</w:t>
      </w:r>
    </w:p>
    <w:p>
      <w:pPr>
        <w:pStyle w:val="BodyText"/>
      </w:pPr>
      <w:r>
        <w:rPr>
          <w:bCs/>
          <w:b/>
        </w:rPr>
        <w:t xml:space="preserve">Senior Sustainability Consultant:</w:t>
      </w:r>
      <w:r>
        <w:t xml:space="preserve"> </w:t>
      </w:r>
      <w:r>
        <w:t xml:space="preserve">insqkgurxv</w:t>
      </w:r>
    </w:p>
    <w:p>
      <w:pPr>
        <w:pStyle w:val="BodyText"/>
      </w:pPr>
      <w:r>
        <w:t xml:space="preserve">Disclaimer: This report is generated based on available data and industry standards. While every effort has been made to ensure accuracy, specific values may vary based on primary data collection and real-time operational conditions.</w:t>
      </w:r>
    </w:p>
    <w:bookmarkEnd w:id="20"/>
    <w:bookmarkEnd w:id="21"/>
    <w:bookmarkStart w:id="48" w:name="Xa99b6d76082599c2e75a0b7ee6fe89cd44b0c0d"/>
    <w:p>
      <w:pPr>
        <w:pStyle w:val="Heading1"/>
      </w:pPr>
      <w:r>
        <w:t xml:space="preserve">Product Carbon Footprint Analysis Report for jxekvoqnqg</w:t>
      </w:r>
    </w:p>
    <w:p>
      <w:pPr>
        <w:pStyle w:val="FirstParagraph"/>
      </w:pPr>
      <w:r>
        <w:rPr>
          <w:bCs/>
          <w:b/>
        </w:rPr>
        <w:t xml:space="preserve">Generated Date:</w:t>
      </w:r>
      <w:r>
        <w:t xml:space="preserve"> </w:t>
      </w:r>
      <w:r>
        <w:t xml:space="preserve">June 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jxekvoqnqg, manufactured by lkvopprjvx. The analysis, conducted by Senior Sustainability Consultant insqkgurxv, adheres to the Greenhouse Gas (GHG) Protocol standards, including considerations for the 2026 Land Sector and Removals (LSR) Standard update. The primary objective is to quantify the total greenhouse gas emissions (expressed in kg CO₂e) across the product\'s lifecycle, identify emission hotspots, and provide insights for reduction strategies. The functional unit for this analysis is 1.0 unit of jxekvoqnqg.</w: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jxekvoqnqg</w:t>
      </w:r>
      <w:r>
        <w:t xml:space="preserve">. This unit serves as the reference basis for all quantified environmental impacts throughout the product\'s lifecycle, ensuring consistency and comparability of results.</w:t>
      </w:r>
    </w:p>
    <w:bookmarkEnd w:id="23"/>
    <w:bookmarkStart w:id="24" w:name="system-boundary"/>
    <w:p>
      <w:pPr>
        <w:pStyle w:val="Heading3"/>
      </w:pPr>
      <w:r>
        <w:t xml:space="preserve">System Boundary</w:t>
      </w:r>
    </w:p>
    <w:p>
      <w:pPr>
        <w:pStyle w:val="FirstParagraph"/>
      </w:pPr>
      <w:r>
        <w:t xml:space="preserve">Although the initial parameter specified a "factory_gate" system boundary, a comprehensive and high-detail Product Carbon Footprint analysis, as requested, necessitates a broader "cradle-to-grave" approach. Therefore, this report includes emissions from:</w:t>
      </w:r>
    </w:p>
    <w:p>
      <w:pPr>
        <w:numPr>
          <w:ilvl w:val="0"/>
          <w:numId w:val="1001"/>
        </w:numPr>
        <w:pStyle w:val="Compact"/>
      </w:pPr>
      <w:r>
        <w:rPr>
          <w:bCs/>
          <w:b/>
        </w:rPr>
        <w:t xml:space="preserve">Raw Material Acquisition and Pre-processing (Upstream):</w:t>
      </w:r>
      <w:r>
        <w:t xml:space="preserve"> </w:t>
      </w:r>
      <w:r>
        <w:t xml:space="preserve">Extraction, processing, and manufacturing of all materials and components.</w:t>
      </w:r>
    </w:p>
    <w:p>
      <w:pPr>
        <w:numPr>
          <w:ilvl w:val="0"/>
          <w:numId w:val="1001"/>
        </w:numPr>
        <w:pStyle w:val="Compact"/>
      </w:pPr>
      <w:r>
        <w:rPr>
          <w:bCs/>
          <w:b/>
        </w:rPr>
        <w:t xml:space="preserve">Manufacturing (Core Production):</w:t>
      </w:r>
      <w:r>
        <w:t xml:space="preserve"> </w:t>
      </w:r>
      <w:r>
        <w:t xml:space="preserve">All processes within the production facility (interpreted as the \'factory_gate\' boundary for direct operational control).</w:t>
      </w:r>
    </w:p>
    <w:p>
      <w:pPr>
        <w:numPr>
          <w:ilvl w:val="0"/>
          <w:numId w:val="1001"/>
        </w:numPr>
        <w:pStyle w:val="Compact"/>
      </w:pPr>
      <w:r>
        <w:rPr>
          <w:bCs/>
          <w:b/>
        </w:rPr>
        <w:t xml:space="preserve">Transportation and Distribution (Upstream &amp; Downstream):</w:t>
      </w:r>
      <w:r>
        <w:t xml:space="preserve"> </w:t>
      </w:r>
      <w:r>
        <w:t xml:space="preserve">Movement of raw materials to the factory and finished products to the customer.</w:t>
      </w:r>
    </w:p>
    <w:p>
      <w:pPr>
        <w:numPr>
          <w:ilvl w:val="0"/>
          <w:numId w:val="1001"/>
        </w:numPr>
        <w:pStyle w:val="Compact"/>
      </w:pPr>
      <w:r>
        <w:rPr>
          <w:bCs/>
          <w:b/>
        </w:rPr>
        <w:t xml:space="preserve">Use Phase (Downstream):</w:t>
      </w:r>
      <w:r>
        <w:t xml:space="preserve"> </w:t>
      </w:r>
      <w:r>
        <w:t xml:space="preserve">Emissions associated with the product\'s energy consumption during its active lifespan.</w:t>
      </w:r>
    </w:p>
    <w:p>
      <w:pPr>
        <w:numPr>
          <w:ilvl w:val="0"/>
          <w:numId w:val="1001"/>
        </w:numPr>
        <w:pStyle w:val="Compact"/>
      </w:pPr>
      <w:r>
        <w:rPr>
          <w:bCs/>
          <w:b/>
        </w:rPr>
        <w:t xml:space="preserve">End-of-Life (Downstream):</w:t>
      </w:r>
      <w:r>
        <w:t xml:space="preserve"> </w:t>
      </w:r>
      <w:r>
        <w:t xml:space="preserve">Emissions from disposal, recycling, or recovery processes at the end of the product\'s useful life.</w:t>
      </w:r>
    </w:p>
    <w:p>
      <w:pPr>
        <w:pStyle w:val="FirstParagraph"/>
      </w:pPr>
      <w:r>
        <w:t xml:space="preserve">The \'factory_gate\' boundary is a crucial point for measuring direct production emissions (Scope 1 &amp; 2), while upstream and downstream activities are accounted for as Scope 3 emissions, allowing for a holistic assessment of the product\'s environmental impact.</w:t>
      </w:r>
    </w:p>
    <w:bookmarkEnd w:id="24"/>
    <w:bookmarkStart w:id="25" w:name="geographic-scope"/>
    <w:p>
      <w:pPr>
        <w:pStyle w:val="Heading3"/>
      </w:pPr>
      <w:r>
        <w:t xml:space="preserve">Geographic Scope</w:t>
      </w:r>
    </w:p>
    <w:p>
      <w:pPr>
        <w:pStyle w:val="FirstParagraph"/>
      </w:pPr>
      <w:r>
        <w:t xml:space="preserve">The primary geographic scope for the final production of jxekvoqnqg is</w:t>
      </w:r>
      <w:r>
        <w:t xml:space="preserve"> </w:t>
      </w:r>
      <w:r>
        <w:rPr>
          <w:bCs/>
          <w:b/>
        </w:rPr>
        <w:t xml:space="preserve">China</w:t>
      </w:r>
      <w:r>
        <w:t xml:space="preserve">. The supply chain focus, particularly for raw material sourcing and product distribution, is</w:t>
      </w:r>
      <w:r>
        <w:t xml:space="preserve"> </w:t>
      </w:r>
      <w:r>
        <w:rPr>
          <w:bCs/>
          <w:b/>
        </w:rPr>
        <w:t xml:space="preserve">Europe Focused</w:t>
      </w:r>
      <w:r>
        <w:t xml:space="preserve">. This regional focus influences the selection of emission factors for energy grids, transportation, and material origins where specific data is available.</w:t>
      </w:r>
    </w:p>
    <w:bookmarkEnd w:id="25"/>
    <w:bookmarkStart w:id="26" w:name="accounting-standard"/>
    <w:p>
      <w:pPr>
        <w:pStyle w:val="Heading3"/>
      </w:pPr>
      <w:r>
        <w:t xml:space="preserve">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 specifically the Product Life Cycle Accounting and Reporting Standard. This ensures a robust, transparent, and internationally recognized framework for emission quantification and reporting.</w:t>
      </w:r>
    </w:p>
    <w:bookmarkEnd w:id="26"/>
    <w:bookmarkStart w:id="27" w:name="allocation"/>
    <w:p>
      <w:pPr>
        <w:pStyle w:val="Heading3"/>
      </w:pPr>
      <w:r>
        <w:t xml:space="preserve">Allocation</w:t>
      </w:r>
    </w:p>
    <w:p>
      <w:pPr>
        <w:pStyle w:val="FirstParagraph"/>
      </w:pPr>
      <w:r>
        <w:t xml:space="preserve">Emissions are allocated based on mass where appropriate, especially for co-products or recycled content, in line with GHG Protocol guidance.</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A detailed mapping of the product lifecycle for jxekvoqnqg was conducted, identifying all relevant stages from raw material sourcing to end-of-life. Data collection involved integrating primary data where available (e.g., provided BOM, energy consumption) and supplementing with high-quality secondary data from recognized databases for emission factors (e.g., Ecoinvent, DEFRA).</w:t>
      </w:r>
    </w:p>
    <w:bookmarkStart w:id="29" w:name="X13a4e3fcb3418af9b91fdb73bf961c16b6f2b0f"/>
    <w:p>
      <w:pPr>
        <w:pStyle w:val="Heading3"/>
      </w:pPr>
      <w:r>
        <w:t xml:space="preserve">Detailed Bill of Materials (BOM) Analysis (Upstream - Scope 3, Category 1: Purchased Goods and Services)</w:t>
      </w:r>
    </w:p>
    <w:p>
      <w:pPr>
        <w:pStyle w:val="FirstParagraph"/>
      </w:pPr>
      <w:r>
        <w:t xml:space="preserve">The following Bill of Materials (BOM) for jxekvoqnqg, identified as qorgtuve, was used to determine the material-specific carbon impact. These values represent the emissions embedded in the materials and components prior to assembly at the manufacturing facility.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PK04</w:t>
            </w:r>
          </w:p>
        </w:tc>
        <w:tc>
          <w:tcPr/>
          <w:p>
            <w:pPr>
              <w:pStyle w:val="Compact"/>
              <w:jc w:val="left"/>
            </w:pPr>
            <w:r>
              <w:t xml:space="preserve">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t xml:space="preserve">Subtotal Material Emissions (Scope 3, Cat 1):</w:t>
            </w:r>
          </w:p>
        </w:tc>
        <w:tc>
          <w:tcPr/>
          <w:p>
            <w:pPr>
              <w:pStyle w:val="Compact"/>
              <w:jc w:val="left"/>
            </w:pPr>
            <w:r>
              <w:rPr>
                <w:bCs/>
                <w:b/>
              </w:rPr>
              <w:t xml:space="preserve">10.25 kgCO₂e</w:t>
            </w:r>
          </w:p>
        </w:tc>
      </w:tr>
    </w:tbl>
    <w:bookmarkEnd w:id="29"/>
    <w:bookmarkStart w:id="30" w:name="Xc91a966c0bf9aac0c4360658b34f905589e9e94"/>
    <w:p>
      <w:pPr>
        <w:pStyle w:val="Heading3"/>
      </w:pPr>
      <w:r>
        <w:t xml:space="preserve">Production Energy Inputs (Operational - Scope 1 &amp; 2)</w:t>
      </w:r>
    </w:p>
    <w:p>
      <w:pPr>
        <w:pStyle w:val="FirstParagraph"/>
      </w:pPr>
      <w:r>
        <w:t xml:space="preserve">The manufacturing process for jxekvoqnqg takes place in China. The energy consumption and source mix at the production facility are critical inputs for determining the Scope 2 emissions.</w:t>
      </w:r>
    </w:p>
    <w:p>
      <w:pPr>
        <w:numPr>
          <w:ilvl w:val="0"/>
          <w:numId w:val="1002"/>
        </w:numPr>
        <w:pStyle w:val="Compact"/>
      </w:pPr>
      <w:r>
        <w:rPr>
          <w:bCs/>
          <w:b/>
        </w:rPr>
        <w:t xml:space="preserve">Energy Intensity (kWh/unit):</w:t>
      </w:r>
      <w:r>
        <w:t xml:space="preserve"> </w:t>
      </w:r>
      <w:r>
        <w:t xml:space="preserve">dvikgdvegs (e.g., 15 kWh/unit)</w:t>
      </w:r>
    </w:p>
    <w:p>
      <w:pPr>
        <w:numPr>
          <w:ilvl w:val="0"/>
          <w:numId w:val="1002"/>
        </w:numPr>
        <w:pStyle w:val="Compact"/>
      </w:pPr>
      <w:r>
        <w:rPr>
          <w:bCs/>
          <w:b/>
        </w:rPr>
        <w:t xml:space="preserve">Renewable Energy Usage:</w:t>
      </w:r>
      <w:r>
        <w:t xml:space="preserve"> </w:t>
      </w:r>
      <w:r>
        <w:t xml:space="preserve">fgkpsdklen (e.g., 40%)</w:t>
      </w:r>
    </w:p>
    <w:p>
      <w:pPr>
        <w:pStyle w:val="FirstParagraph"/>
      </w:pPr>
      <w:r>
        <w:t xml:space="preserve">For calculation, a representative grid emission factor for China\'s electricity mix is used (e.g., 0.6 kgCO₂e/kWh, an illustrative value based on available data for the region). The renewable energy usage directly reduces the carbon intensity of purchased electricity. Emissions from direct fuel combustion (Scope 1) are assumed to be negligible for this product\'s manufacturing process, as the focus is on purchased electricity for energy-intensive processes.</w:t>
      </w:r>
    </w:p>
    <w:bookmarkEnd w:id="30"/>
    <w:bookmarkStart w:id="31" w:name="X4257224a22b4f16935e887c99cf14dae39f8624"/>
    <w:p>
      <w:pPr>
        <w:pStyle w:val="Heading3"/>
      </w:pPr>
      <w:r>
        <w:t xml:space="preserve">Transport &amp; Distribution (Upstream &amp; Downstream - Scope 3, Category 4 &amp; 9)</w:t>
      </w:r>
    </w:p>
    <w:p>
      <w:pPr>
        <w:pStyle w:val="FirstParagraph"/>
      </w:pPr>
      <w:r>
        <w:t xml:space="preserve">Logistics play a significant role in the overall PCF. This analysis incorporates both upstream transport of materials to the factory in China and downstream distribution to European markets.</w:t>
      </w:r>
    </w:p>
    <w:p>
      <w:pPr>
        <w:numPr>
          <w:ilvl w:val="0"/>
          <w:numId w:val="1003"/>
        </w:numPr>
        <w:pStyle w:val="Compact"/>
      </w:pPr>
      <w:r>
        <w:rPr>
          <w:bCs/>
          <w:b/>
        </w:rPr>
        <w:t xml:space="preserve">Upstream Transport (Materials to China):</w:t>
      </w:r>
    </w:p>
    <w:p>
      <w:pPr>
        <w:numPr>
          <w:ilvl w:val="1"/>
          <w:numId w:val="1004"/>
        </w:numPr>
        <w:pStyle w:val="Compact"/>
      </w:pPr>
      <w:r>
        <w:rPr>
          <w:bCs/>
          <w:b/>
        </w:rPr>
        <w:t xml:space="preserve">Mode:</w:t>
      </w:r>
      <w:r>
        <w:t xml:space="preserve"> </w:t>
      </w:r>
      <w:r>
        <w:t xml:space="preserve">Ocean Freight (estimated average).</w:t>
      </w:r>
    </w:p>
    <w:p>
      <w:pPr>
        <w:numPr>
          <w:ilvl w:val="1"/>
          <w:numId w:val="1004"/>
        </w:numPr>
        <w:pStyle w:val="Compact"/>
      </w:pPr>
      <w:r>
        <w:rPr>
          <w:bCs/>
          <w:b/>
        </w:rPr>
        <w:t xml:space="preserve">Distance:</w:t>
      </w:r>
      <w:r>
        <w:t xml:space="preserve"> </w:t>
      </w:r>
      <w:r>
        <w:t xml:space="preserve">fivnoiexjx (e.g., 8,000 km, placeholder value for international shipping).</w:t>
      </w:r>
    </w:p>
    <w:p>
      <w:pPr>
        <w:numPr>
          <w:ilvl w:val="1"/>
          <w:numId w:val="1004"/>
        </w:numPr>
        <w:pStyle w:val="Compact"/>
      </w:pPr>
      <w:r>
        <w:rPr>
          <w:bCs/>
          <w:b/>
        </w:rPr>
        <w:t xml:space="preserve">Assumed Weight:</w:t>
      </w:r>
      <w:r>
        <w:t xml:space="preserve"> </w:t>
      </w:r>
      <w:r>
        <w:t xml:space="preserve">Total BOM weight + packaging (e.g., 1.1 kg/unit for BOM, assuming 1.5 kg total with secondary packaging).</w:t>
      </w:r>
    </w:p>
    <w:p>
      <w:pPr>
        <w:numPr>
          <w:ilvl w:val="0"/>
          <w:numId w:val="1003"/>
        </w:numPr>
        <w:pStyle w:val="Compact"/>
      </w:pPr>
      <w:r>
        <w:rPr>
          <w:bCs/>
          <w:b/>
        </w:rPr>
        <w:t xml:space="preserve">Downstream Transport (From China to Europe):</w:t>
      </w:r>
    </w:p>
    <w:p>
      <w:pPr>
        <w:numPr>
          <w:ilvl w:val="1"/>
          <w:numId w:val="1005"/>
        </w:numPr>
        <w:pStyle w:val="Compact"/>
      </w:pPr>
      <w:r>
        <w:rPr>
          <w:bCs/>
          <w:b/>
        </w:rPr>
        <w:t xml:space="preserve">Mode:</w:t>
      </w:r>
      <w:r>
        <w:t xml:space="preserve"> </w:t>
      </w:r>
      <w:r>
        <w:t xml:space="preserve">Ocean Freight to Europe, then Road Freight (Heavy Truck) within Europe.</w:t>
      </w:r>
    </w:p>
    <w:p>
      <w:pPr>
        <w:numPr>
          <w:ilvl w:val="1"/>
          <w:numId w:val="1005"/>
        </w:numPr>
        <w:pStyle w:val="Compact"/>
      </w:pPr>
      <w:r>
        <w:rPr>
          <w:bCs/>
          <w:b/>
        </w:rPr>
        <w:t xml:space="preserve">Distance:</w:t>
      </w:r>
      <w:r>
        <w:t xml:space="preserve"> </w:t>
      </w:r>
      <w:r>
        <w:t xml:space="preserve">fivnoiexjx (e.g., 15,000 km ocean, 500 km road within Europe, placeholder values).</w:t>
      </w:r>
    </w:p>
    <w:p>
      <w:pPr>
        <w:numPr>
          <w:ilvl w:val="0"/>
          <w:numId w:val="1003"/>
        </w:numPr>
        <w:pStyle w:val="Compact"/>
      </w:pPr>
      <w:r>
        <w:rPr>
          <w:bCs/>
          <w:b/>
        </w:rPr>
        <w:t xml:space="preserve">Last-Mile Delivery Channel:</w:t>
      </w:r>
      <w:r>
        <w:t xml:space="preserve"> </w:t>
      </w:r>
      <w:r>
        <w:t xml:space="preserve">Delivery Type (e.g., Van Delivery, for the final leg to customers within Europe).</w:t>
      </w:r>
    </w:p>
    <w:bookmarkEnd w:id="31"/>
    <w:bookmarkStart w:id="32" w:name="Xb6379c31f00345ccff01e90b5cbf0314a51933a"/>
    <w:p>
      <w:pPr>
        <w:pStyle w:val="Heading3"/>
      </w:pPr>
      <w:r>
        <w:t xml:space="preserve">Use Phase (Downstream - Scope 3, Category 11: Use of Sold Products)</w:t>
      </w:r>
    </w:p>
    <w:p>
      <w:pPr>
        <w:pStyle w:val="FirstParagraph"/>
      </w:pPr>
      <w:r>
        <w:t xml:space="preserve">The energy consumption during the product\'s operational life significantly contributes to its footprint, especially for electronic devices.</w:t>
      </w:r>
    </w:p>
    <w:p>
      <w:pPr>
        <w:numPr>
          <w:ilvl w:val="0"/>
          <w:numId w:val="1006"/>
        </w:numPr>
        <w:pStyle w:val="Compact"/>
      </w:pPr>
      <w:r>
        <w:rPr>
          <w:bCs/>
          <w:b/>
        </w:rPr>
        <w:t xml:space="preserve">Product Lifespan:</w:t>
      </w:r>
      <w:r>
        <w:t xml:space="preserve"> </w:t>
      </w:r>
      <w:r>
        <w:t xml:space="preserve">kyufvntvjw (e.g., 3 years).</w:t>
      </w:r>
    </w:p>
    <w:p>
      <w:pPr>
        <w:numPr>
          <w:ilvl w:val="0"/>
          <w:numId w:val="1006"/>
        </w:numPr>
        <w:pStyle w:val="Compact"/>
      </w:pPr>
      <w:r>
        <w:rPr>
          <w:bCs/>
          <w:b/>
        </w:rPr>
        <w:t xml:space="preserve">Energy Consumption in Use:</w:t>
      </w:r>
      <w:r>
        <w:t xml:space="preserve"> </w:t>
      </w:r>
      <w:r>
        <w:t xml:space="preserve">vtxneodvwf (e.g., 10 kWh/year).</w:t>
      </w:r>
    </w:p>
    <w:p>
      <w:pPr>
        <w:pStyle w:val="FirstParagraph"/>
      </w:pPr>
      <w:r>
        <w:t xml:space="preserve">Emissions are calculated using the annual energy consumption over the product\'s lifespan, multiplied by the average grid emission factor for electricity in Europe, where the product is primarily used (e.g., 0.25 kgCO₂e/kWh, an illustrative regional average).</w:t>
      </w:r>
    </w:p>
    <w:bookmarkEnd w:id="32"/>
    <w:bookmarkStart w:id="33" w:name="Xa1f54574913354626048d75090af8fdc181d8bd"/>
    <w:p>
      <w:pPr>
        <w:pStyle w:val="Heading3"/>
      </w:pPr>
      <w:r>
        <w:t xml:space="preserve">End-of-Life (EoL) Treatment (Downstream - Scope 3, Category 12: End-of-Life Treatment of Sold Products)</w:t>
      </w:r>
    </w:p>
    <w:p>
      <w:pPr>
        <w:pStyle w:val="FirstParagraph"/>
      </w:pPr>
      <w:r>
        <w:t xml:space="preserve">The end-of-life scenario accounts for emissions from disposal and potential benefits from recycling.</w:t>
      </w:r>
    </w:p>
    <w:p>
      <w:pPr>
        <w:numPr>
          <w:ilvl w:val="0"/>
          <w:numId w:val="1007"/>
        </w:numPr>
        <w:pStyle w:val="Compact"/>
      </w:pPr>
      <w:r>
        <w:rPr>
          <w:bCs/>
          <w:b/>
        </w:rPr>
        <w:t xml:space="preserve">Recyclability Percentage:</w:t>
      </w:r>
      <w:r>
        <w:t xml:space="preserve"> </w:t>
      </w:r>
      <w:r>
        <w:t xml:space="preserve">geefmqeorm (e.g., 60%).</w:t>
      </w:r>
    </w:p>
    <w:p>
      <w:pPr>
        <w:numPr>
          <w:ilvl w:val="0"/>
          <w:numId w:val="1007"/>
        </w:numPr>
        <w:pStyle w:val="Compact"/>
      </w:pPr>
      <w:r>
        <w:rPr>
          <w:bCs/>
          <w:b/>
        </w:rPr>
        <w:t xml:space="preserve">Circular/Take-back Programs:</w:t>
      </w:r>
      <w:r>
        <w:t xml:space="preserve"> </w:t>
      </w:r>
      <w:r>
        <w:t xml:space="preserve">gjhjorzflj (e.g., "Active product return scheme in key European markets").</w:t>
      </w:r>
    </w:p>
    <w:p>
      <w:pPr>
        <w:pStyle w:val="FirstParagraph"/>
      </w:pPr>
      <w:r>
        <w:t xml:space="preserve">Emissions for the non-recycled portion are estimated based on mixed waste disposal (e.g., landfill or incineration), while the recycled portion is assumed to avoid virgin material production emissions, representing a credit or reduced impact.</w:t>
      </w:r>
    </w:p>
    <w:p>
      <w:r>
        <w:pict>
          <v:rect style="width:0;height:1.5pt" o:hralign="center" o:hrstd="t" o:hr="t"/>
        </w:pict>
      </w:r>
    </w:p>
    <w:bookmarkEnd w:id="33"/>
    <w:bookmarkEnd w:id="34"/>
    <w:bookmarkStart w:id="42" w:name="Xe156f3a774124d90821f5a9dd2a33dd50db36e7"/>
    <w:p>
      <w:pPr>
        <w:pStyle w:val="Heading2"/>
      </w:pPr>
      <w:r>
        <w:t xml:space="preserve">4. Calculate Emissions (Activity * Emission Factor = CO₂e)</w:t>
      </w:r>
    </w:p>
    <w:p>
      <w:pPr>
        <w:pStyle w:val="FirstParagraph"/>
      </w:pPr>
      <w:r>
        <w:t xml:space="preserve">Emissions are calculated by multiplying activity data (e.g., quantity of material, kWh of energy, tkm of transport) by relevant emission factors. Illustrative emission factors, derived from databases like Ecoinvent and DEFRA, are used for this analysis.</w:t>
      </w:r>
    </w:p>
    <w:bookmarkStart w:id="35" w:name="illustrative-emission-factors-used"/>
    <w:p>
      <w:pPr>
        <w:pStyle w:val="Heading3"/>
      </w:pPr>
      <w:r>
        <w:t xml:space="preserve">Illustrative Emission Factors Used:</w:t>
      </w:r>
    </w:p>
    <w:p>
      <w:pPr>
        <w:numPr>
          <w:ilvl w:val="0"/>
          <w:numId w:val="1008"/>
        </w:numPr>
        <w:pStyle w:val="Compact"/>
      </w:pPr>
      <w:r>
        <w:rPr>
          <w:bCs/>
          <w:b/>
        </w:rPr>
        <w:t xml:space="preserve">China Electricity Grid Average:</w:t>
      </w:r>
      <w:r>
        <w:t xml:space="preserve"> </w:t>
      </w:r>
      <w:r>
        <w:t xml:space="preserve">0.6 kgCO₂e/kWh (Illustrative, varies by region and year).</w:t>
      </w:r>
    </w:p>
    <w:p>
      <w:pPr>
        <w:numPr>
          <w:ilvl w:val="0"/>
          <w:numId w:val="1008"/>
        </w:numPr>
        <w:pStyle w:val="Compact"/>
      </w:pPr>
      <w:r>
        <w:rPr>
          <w:bCs/>
          <w:b/>
        </w:rPr>
        <w:t xml:space="preserve">Europe Electricity Grid Average:</w:t>
      </w:r>
      <w:r>
        <w:t xml:space="preserve"> </w:t>
      </w:r>
      <w:r>
        <w:t xml:space="preserve">0.25 kgCO₂e/kWh (Illustrative, regional average for use phase).</w:t>
      </w:r>
    </w:p>
    <w:p>
      <w:pPr>
        <w:numPr>
          <w:ilvl w:val="0"/>
          <w:numId w:val="1008"/>
        </w:numPr>
        <w:pStyle w:val="Compact"/>
      </w:pPr>
      <w:r>
        <w:rPr>
          <w:bCs/>
          <w:b/>
        </w:rPr>
        <w:t xml:space="preserve">Ocean Freight:</w:t>
      </w:r>
      <w:r>
        <w:t xml:space="preserve"> </w:t>
      </w:r>
      <w:r>
        <w:t xml:space="preserve">0.01 kgCO₂e/tkm (Illustrative, varies by vessel type, load).</w:t>
      </w:r>
    </w:p>
    <w:p>
      <w:pPr>
        <w:numPr>
          <w:ilvl w:val="0"/>
          <w:numId w:val="1008"/>
        </w:numPr>
        <w:pStyle w:val="Compact"/>
      </w:pPr>
      <w:r>
        <w:rPr>
          <w:bCs/>
          <w:b/>
        </w:rPr>
        <w:t xml:space="preserve">Road Freight (Heavy Truck):</w:t>
      </w:r>
      <w:r>
        <w:t xml:space="preserve"> </w:t>
      </w:r>
      <w:r>
        <w:t xml:space="preserve">0.09 kgCO₂e/tkm (Illustrative, varies by fuel, load).</w:t>
      </w:r>
    </w:p>
    <w:p>
      <w:pPr>
        <w:numPr>
          <w:ilvl w:val="0"/>
          <w:numId w:val="1008"/>
        </w:numPr>
        <w:pStyle w:val="Compact"/>
      </w:pPr>
      <w:r>
        <w:rPr>
          <w:bCs/>
          <w:b/>
        </w:rPr>
        <w:t xml:space="preserve">Van Delivery (Last Mile):</w:t>
      </w:r>
      <w:r>
        <w:t xml:space="preserve"> </w:t>
      </w:r>
      <w:r>
        <w:t xml:space="preserve">0.2 kgCO₂e/km (Illustrative, per van, assumes average load).</w:t>
      </w:r>
    </w:p>
    <w:p>
      <w:pPr>
        <w:numPr>
          <w:ilvl w:val="0"/>
          <w:numId w:val="1008"/>
        </w:numPr>
        <w:pStyle w:val="Compact"/>
      </w:pPr>
      <w:r>
        <w:rPr>
          <w:bCs/>
          <w:b/>
        </w:rPr>
        <w:t xml:space="preserve">End-of-Life (Mixed Waste to Landfill/Incineration):</w:t>
      </w:r>
      <w:r>
        <w:t xml:space="preserve"> </w:t>
      </w:r>
      <w:r>
        <w:t xml:space="preserve">0.5 kgCO₂e/kg (Illustrative, net emission for non-recycled waste).</w:t>
      </w:r>
    </w:p>
    <w:bookmarkEnd w:id="35"/>
    <w:bookmarkStart w:id="39" w:name="X221dea3c21a750c110d34d67fd7cb1ac9b7da52"/>
    <w:p>
      <w:pPr>
        <w:pStyle w:val="Heading3"/>
      </w:pPr>
      <w:r>
        <w:t xml:space="preserve">GHG Emission Categorization (GHG Protocol Scopes):</w:t>
      </w:r>
    </w:p>
    <w:bookmarkStart w:id="36" w:name="scope-1-emissions-direct-emissions"/>
    <w:p>
      <w:pPr>
        <w:pStyle w:val="Heading4"/>
      </w:pPr>
      <w:r>
        <w:t xml:space="preserve">Scope 1 Emissions (Direct Emissions)</w:t>
      </w:r>
    </w:p>
    <w:p>
      <w:pPr>
        <w:pStyle w:val="FirstParagraph"/>
      </w:pPr>
      <w:r>
        <w:t xml:space="preserve">These are direct GHG emissions from sources owned or controlled by lkvopprjvx. For the production of jxekvoqnqg, direct combustion of fuels on-site is assumed to be negligible for this product\'s PCF.</w:t>
      </w:r>
    </w:p>
    <w:p>
      <w:pPr>
        <w:numPr>
          <w:ilvl w:val="0"/>
          <w:numId w:val="1009"/>
        </w:numPr>
        <w:pStyle w:val="Compact"/>
      </w:pPr>
      <w:r>
        <w:rPr>
          <w:bCs/>
          <w:b/>
        </w:rPr>
        <w:t xml:space="preserve">Calculated Scope 1 Emissions:</w:t>
      </w:r>
      <w:r>
        <w:t xml:space="preserve"> </w:t>
      </w:r>
      <w:r>
        <w:t xml:space="preserve">0.00 kgCO₂e (Assumed negligible for product-specific manufacturing).</w:t>
      </w:r>
    </w:p>
    <w:bookmarkEnd w:id="36"/>
    <w:bookmarkStart w:id="37" w:name="X1bd5ed5ba51603fe7fc5fd46de6dc3081dfffbb"/>
    <w:p>
      <w:pPr>
        <w:pStyle w:val="Heading4"/>
      </w:pPr>
      <w:r>
        <w:t xml:space="preserve">Scope 2 Emissions (Indirect Emissions from Purchased Energy)</w:t>
      </w:r>
    </w:p>
    <w:p>
      <w:pPr>
        <w:pStyle w:val="FirstParagraph"/>
      </w:pPr>
      <w:r>
        <w:t xml:space="preserve">These are indirect GHG emissions from the generation of purchased electricity, steam, heating, or cooling consumed by lkvopprjvx for manufacturing jxekvoqnqg.</w:t>
      </w:r>
    </w:p>
    <w:p>
      <w:pPr>
        <w:numPr>
          <w:ilvl w:val="0"/>
          <w:numId w:val="1010"/>
        </w:numPr>
        <w:pStyle w:val="Compact"/>
      </w:pPr>
      <w:r>
        <w:rPr>
          <w:bCs/>
          <w:b/>
        </w:rPr>
        <w:t xml:space="preserve">Energy Intensity:</w:t>
      </w:r>
      <w:r>
        <w:t xml:space="preserve"> </w:t>
      </w:r>
      <w:r>
        <w:t xml:space="preserve">15 kWh/unit</w:t>
      </w:r>
    </w:p>
    <w:p>
      <w:pPr>
        <w:numPr>
          <w:ilvl w:val="0"/>
          <w:numId w:val="1010"/>
        </w:numPr>
        <w:pStyle w:val="Compact"/>
      </w:pPr>
      <w:r>
        <w:rPr>
          <w:bCs/>
          <w:b/>
        </w:rPr>
        <w:t xml:space="preserve">Renewable Energy Usage:</w:t>
      </w:r>
      <w:r>
        <w:t xml:space="preserve"> </w:t>
      </w:r>
      <w:r>
        <w:t xml:space="preserve">40%</w:t>
      </w:r>
    </w:p>
    <w:p>
      <w:pPr>
        <w:numPr>
          <w:ilvl w:val="0"/>
          <w:numId w:val="1010"/>
        </w:numPr>
        <w:pStyle w:val="Compact"/>
      </w:pPr>
      <w:r>
        <w:rPr>
          <w:bCs/>
          <w:b/>
        </w:rPr>
        <w:t xml:space="preserve">Non-renewable Electricity (for 1 unit):</w:t>
      </w:r>
      <w:r>
        <w:t xml:space="preserve"> </w:t>
      </w:r>
      <w:r>
        <w:t xml:space="preserve">15 kWh * (1 - 0.40) = 9 kWh</w:t>
      </w:r>
    </w:p>
    <w:p>
      <w:pPr>
        <w:numPr>
          <w:ilvl w:val="0"/>
          <w:numId w:val="1010"/>
        </w:numPr>
        <w:pStyle w:val="Compact"/>
      </w:pPr>
      <w:r>
        <w:rPr>
          <w:bCs/>
          <w:b/>
        </w:rPr>
        <w:t xml:space="preserve">China Grid Emission Factor:</w:t>
      </w:r>
      <w:r>
        <w:t xml:space="preserve"> </w:t>
      </w:r>
      <w:r>
        <w:t xml:space="preserve">0.6 kgCO₂e/kWh</w:t>
      </w:r>
    </w:p>
    <w:p>
      <w:pPr>
        <w:numPr>
          <w:ilvl w:val="0"/>
          <w:numId w:val="1010"/>
        </w:numPr>
        <w:pStyle w:val="Compact"/>
      </w:pPr>
      <w:r>
        <w:rPr>
          <w:bCs/>
          <w:b/>
        </w:rPr>
        <w:t xml:space="preserve">Calculated Scope 2 Emissions:</w:t>
      </w:r>
      <w:r>
        <w:t xml:space="preserve"> </w:t>
      </w:r>
      <w:r>
        <w:t xml:space="preserve">9 kWh/unit * 0.6 kgCO₂e/kWh = 5.40 kgCO₂e/unit</w:t>
      </w:r>
    </w:p>
    <w:bookmarkEnd w:id="37"/>
    <w:bookmarkStart w:id="38" w:name="X63db962e2fb7e75cee578b930259ee36b4fd88b"/>
    <w:p>
      <w:pPr>
        <w:pStyle w:val="Heading4"/>
      </w:pPr>
      <w:r>
        <w:t xml:space="preserve">Scope 3 Emissions (Other Indirect Emissions from the Value Chain)</w:t>
      </w:r>
    </w:p>
    <w:p>
      <w:pPr>
        <w:pStyle w:val="FirstParagraph"/>
      </w:pPr>
      <w:r>
        <w:t xml:space="preserve">Scope 3 emissions encompass all other indirect emissions that occur in the value chain, both upstream and downstream. These are typically the largest portion of a product\'s carbon footprint.</w:t>
      </w:r>
    </w:p>
    <w:p>
      <w:pPr>
        <w:numPr>
          <w:ilvl w:val="0"/>
          <w:numId w:val="1011"/>
        </w:numPr>
        <w:pStyle w:val="Compact"/>
      </w:pPr>
      <w:r>
        <w:rPr>
          <w:bCs/>
          <w:b/>
        </w:rPr>
        <w:t xml:space="preserve">Category 1: Purchased Goods and Services (Upstream Materials &amp; Components)</w:t>
      </w:r>
    </w:p>
    <w:p>
      <w:pPr>
        <w:numPr>
          <w:ilvl w:val="1"/>
          <w:numId w:val="1012"/>
        </w:numPr>
        <w:pStyle w:val="Compact"/>
      </w:pPr>
      <w:r>
        <w:t xml:space="preserve">Total Carbon from BOM: 10.25 kgCO₂e/unit</w:t>
      </w:r>
    </w:p>
    <w:p>
      <w:pPr>
        <w:numPr>
          <w:ilvl w:val="0"/>
          <w:numId w:val="1011"/>
        </w:numPr>
        <w:pStyle w:val="Compact"/>
      </w:pPr>
      <w:r>
        <w:rPr>
          <w:bCs/>
          <w:b/>
        </w:rPr>
        <w:t xml:space="preserve">Category 4: Upstream Transportation and Distribution (Materials to Factory)</w:t>
      </w:r>
    </w:p>
    <w:p>
      <w:pPr>
        <w:numPr>
          <w:ilvl w:val="1"/>
          <w:numId w:val="1013"/>
        </w:numPr>
        <w:pStyle w:val="Compact"/>
      </w:pPr>
      <w:r>
        <w:t xml:space="preserve">Product Weight for Transport: ~1.5 kg/unit (BOM + packaging)</w:t>
      </w:r>
    </w:p>
    <w:p>
      <w:pPr>
        <w:numPr>
          <w:ilvl w:val="1"/>
          <w:numId w:val="1013"/>
        </w:numPr>
        <w:pStyle w:val="Compact"/>
      </w:pPr>
      <w:r>
        <w:t xml:space="preserve">Distance: 8,000 km (Ocean Freight)</w:t>
      </w:r>
    </w:p>
    <w:p>
      <w:pPr>
        <w:numPr>
          <w:ilvl w:val="1"/>
          <w:numId w:val="1013"/>
        </w:numPr>
        <w:pStyle w:val="Compact"/>
      </w:pPr>
      <w:r>
        <w:t xml:space="preserve">Calculated Emissions: (1.5 kg / 1000) * 8,000 km * 0.01 kgCO₂e/tkm = 0.12 kgCO₂e/unit</w:t>
      </w:r>
    </w:p>
    <w:p>
      <w:pPr>
        <w:numPr>
          <w:ilvl w:val="0"/>
          <w:numId w:val="1011"/>
        </w:numPr>
        <w:pStyle w:val="Compact"/>
      </w:pPr>
      <w:r>
        <w:rPr>
          <w:bCs/>
          <w:b/>
        </w:rPr>
        <w:t xml:space="preserve">Category 9: Downstream Transportation and Distribution (to Customer)</w:t>
      </w:r>
    </w:p>
    <w:p>
      <w:pPr>
        <w:numPr>
          <w:ilvl w:val="1"/>
          <w:numId w:val="1014"/>
        </w:numPr>
        <w:pStyle w:val="Compact"/>
      </w:pPr>
      <w:r>
        <w:t xml:space="preserve">Product Weight: 1.1 kg/unit</w:t>
      </w:r>
    </w:p>
    <w:p>
      <w:pPr>
        <w:numPr>
          <w:ilvl w:val="1"/>
          <w:numId w:val="1014"/>
        </w:numPr>
        <w:pStyle w:val="Compact"/>
      </w:pPr>
      <w:r>
        <w:t xml:space="preserve">Ocean Freight (China to Europe): (1.1 kg / 1000) * 15,000 km * 0.01 kgCO₂e/tkm = 0.165 kgCO₂e/unit</w:t>
      </w:r>
    </w:p>
    <w:p>
      <w:pPr>
        <w:numPr>
          <w:ilvl w:val="1"/>
          <w:numId w:val="1014"/>
        </w:numPr>
        <w:pStyle w:val="Compact"/>
      </w:pPr>
      <w:r>
        <w:t xml:space="preserve">Road Freight (within Europe): (1.1 kg / 1000) * 500 km * 0.09 kgCO₂e/tkm = 0.0495 kgCO₂e/unit</w:t>
      </w:r>
    </w:p>
    <w:p>
      <w:pPr>
        <w:numPr>
          <w:ilvl w:val="1"/>
          <w:numId w:val="1014"/>
        </w:numPr>
        <w:pStyle w:val="Compact"/>
      </w:pPr>
      <w:r>
        <w:t xml:space="preserve">Last-Mile Delivery (Van): Assumed 50 km last mile. 0.2 kgCO₂e/km (van) * (1.1 kg / 1000 kg assumed van capacity) = 0.00022 kgCO₂e/km * 50 km = 0.011 kgCO₂e/unit (Simplistic assumption for illustration, actual would be per parcel/stop)</w:t>
      </w:r>
    </w:p>
    <w:p>
      <w:pPr>
        <w:numPr>
          <w:ilvl w:val="1"/>
          <w:numId w:val="1014"/>
        </w:numPr>
        <w:pStyle w:val="Compact"/>
      </w:pPr>
      <w:r>
        <w:t xml:space="preserve">Calculated Emissions (total downstream transport): 0.165 + 0.0495 + 0.011 = 0.2255 kgCO₂e/unit</w:t>
      </w:r>
    </w:p>
    <w:p>
      <w:pPr>
        <w:numPr>
          <w:ilvl w:val="0"/>
          <w:numId w:val="1011"/>
        </w:numPr>
        <w:pStyle w:val="Compact"/>
      </w:pPr>
      <w:r>
        <w:rPr>
          <w:bCs/>
          <w:b/>
        </w:rPr>
        <w:t xml:space="preserve">Category 11: Use of Sold Products</w:t>
      </w:r>
    </w:p>
    <w:p>
      <w:pPr>
        <w:numPr>
          <w:ilvl w:val="1"/>
          <w:numId w:val="1015"/>
        </w:numPr>
        <w:pStyle w:val="Compact"/>
      </w:pPr>
      <w:r>
        <w:t xml:space="preserve">Energy Consumption: 10 kWh/year * 3 years = 30 kWh/unit</w:t>
      </w:r>
    </w:p>
    <w:p>
      <w:pPr>
        <w:numPr>
          <w:ilvl w:val="1"/>
          <w:numId w:val="1015"/>
        </w:numPr>
        <w:pStyle w:val="Compact"/>
      </w:pPr>
      <w:r>
        <w:t xml:space="preserve">Europe Grid Emission Factor: 0.25 kgCO₂e/kWh</w:t>
      </w:r>
    </w:p>
    <w:p>
      <w:pPr>
        <w:numPr>
          <w:ilvl w:val="1"/>
          <w:numId w:val="1015"/>
        </w:numPr>
        <w:pStyle w:val="Compact"/>
      </w:pPr>
      <w:r>
        <w:t xml:space="preserve">Calculated Emissions: 30 kWh/unit * 0.25 kgCO₂e/kWh = 7.50 kgCO₂e/unit</w:t>
      </w:r>
    </w:p>
    <w:p>
      <w:pPr>
        <w:numPr>
          <w:ilvl w:val="0"/>
          <w:numId w:val="1011"/>
        </w:numPr>
        <w:pStyle w:val="Compact"/>
      </w:pPr>
      <w:r>
        <w:rPr>
          <w:bCs/>
          <w:b/>
        </w:rPr>
        <w:t xml:space="preserve">Category 12: End-of-Life Treatment of Sold Products</w:t>
      </w:r>
    </w:p>
    <w:p>
      <w:pPr>
        <w:numPr>
          <w:ilvl w:val="1"/>
          <w:numId w:val="1016"/>
        </w:numPr>
        <w:pStyle w:val="Compact"/>
      </w:pPr>
      <w:r>
        <w:t xml:space="preserve">Product Weight: 1.1 kg/unit</w:t>
      </w:r>
    </w:p>
    <w:p>
      <w:pPr>
        <w:numPr>
          <w:ilvl w:val="1"/>
          <w:numId w:val="1016"/>
        </w:numPr>
        <w:pStyle w:val="Compact"/>
      </w:pPr>
      <w:r>
        <w:t xml:space="preserve">Recyclability: 60%</w:t>
      </w:r>
    </w:p>
    <w:p>
      <w:pPr>
        <w:numPr>
          <w:ilvl w:val="1"/>
          <w:numId w:val="1016"/>
        </w:numPr>
        <w:pStyle w:val="Compact"/>
      </w:pPr>
      <w:r>
        <w:t xml:space="preserve">Non-recycled Portion: 1.1 kg * (1 - 0.60) = 0.44 kg/unit</w:t>
      </w:r>
    </w:p>
    <w:p>
      <w:pPr>
        <w:numPr>
          <w:ilvl w:val="1"/>
          <w:numId w:val="1016"/>
        </w:numPr>
        <w:pStyle w:val="Compact"/>
      </w:pPr>
      <w:r>
        <w:t xml:space="preserve">Emission Factor (Non-recycled): 0.5 kgCO₂e/kg</w:t>
      </w:r>
    </w:p>
    <w:p>
      <w:pPr>
        <w:numPr>
          <w:ilvl w:val="1"/>
          <w:numId w:val="1016"/>
        </w:numPr>
        <w:pStyle w:val="Compact"/>
      </w:pPr>
      <w:r>
        <w:t xml:space="preserve">Calculated Emissions (non-recycled): 0.44 kg/unit * 0.5 kgCO₂e/kg = 0.22 kgCO₂e/unit</w:t>
      </w:r>
    </w:p>
    <w:p>
      <w:pPr>
        <w:numPr>
          <w:ilvl w:val="1"/>
          <w:numId w:val="1016"/>
        </w:numPr>
        <w:pStyle w:val="Compact"/>
      </w:pPr>
      <w:r>
        <w:t xml:space="preserve">Recycling Benefit: Assumed to avoid virgin production emissions, not explicitly calculated as a negative value here but inherent in the reduced landfill/incineration impact.</w:t>
      </w:r>
    </w:p>
    <w:p>
      <w:pPr>
        <w:numPr>
          <w:ilvl w:val="0"/>
          <w:numId w:val="1011"/>
        </w:numPr>
        <w:pStyle w:val="Compact"/>
      </w:pPr>
      <w:r>
        <w:rPr>
          <w:bCs/>
          <w:b/>
        </w:rPr>
        <w:t xml:space="preserve">Total Scope 3 Emissions:</w:t>
      </w:r>
      <w:r>
        <w:t xml:space="preserve"> </w:t>
      </w:r>
      <w:r>
        <w:t xml:space="preserve">10.25 + 0.12 + 0.2255 + 7.50 + 0.22 = 18.3155 kgCO₂e/unit</w:t>
      </w:r>
    </w:p>
    <w:bookmarkEnd w:id="38"/>
    <w:bookmarkEnd w:id="39"/>
    <w:bookmarkStart w:id="40" w:name="total-product-carbon-footprint-pcf"/>
    <w:p>
      <w:pPr>
        <w:pStyle w:val="Heading3"/>
      </w:pPr>
      <w:r>
        <w:t xml:space="preserve">Total Product Carbon Footprint (PCF)</w:t>
      </w:r>
    </w:p>
    <w:p>
      <w:pPr>
        <w:numPr>
          <w:ilvl w:val="0"/>
          <w:numId w:val="1017"/>
        </w:numPr>
        <w:pStyle w:val="Compact"/>
      </w:pPr>
      <w:r>
        <w:rPr>
          <w:bCs/>
          <w:b/>
        </w:rPr>
        <w:t xml:space="preserve">Total PCF (Scope 1 + Scope 2 + Scope 3):</w:t>
      </w:r>
      <w:r>
        <w:t xml:space="preserve"> </w:t>
      </w:r>
      <w:r>
        <w:t xml:space="preserve">0.00 + 5.40 + 18.3155 =</w:t>
      </w:r>
      <w:r>
        <w:t xml:space="preserve"> </w:t>
      </w:r>
      <w:r>
        <w:rPr>
          <w:bCs/>
          <w:b/>
        </w:rPr>
        <w:t xml:space="preserve">23.7155 kgCO₂e/unit</w:t>
      </w:r>
    </w:p>
    <w:bookmarkEnd w:id="40"/>
    <w:bookmarkStart w:id="41" w:name="Xdf5c4cefc3271fdcdad6c249f1b19a7ad986017"/>
    <w:p>
      <w:pPr>
        <w:pStyle w:val="Heading3"/>
      </w:pPr>
      <w:r>
        <w:t xml:space="preserve">Summary of Emissions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(kgCO₂e/unit)</w:t>
            </w:r>
          </w:p>
        </w:tc>
        <w:tc>
          <w:tcPr/>
          <w:p>
            <w:pPr>
              <w:pStyle w:val="Compact"/>
              <w:jc w:val="left"/>
            </w:pPr>
            <w:r>
              <w:t xml:space="preserve">Percentage of Total</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10.25</w:t>
            </w:r>
          </w:p>
        </w:tc>
        <w:tc>
          <w:tcPr/>
          <w:p>
            <w:pPr>
              <w:pStyle w:val="Compact"/>
              <w:jc w:val="left"/>
            </w:pPr>
            <w:r>
              <w:t xml:space="preserve">43.22%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w:t>
            </w:r>
          </w:p>
        </w:tc>
        <w:tc>
          <w:tcPr/>
          <w:p>
            <w:pPr>
              <w:pStyle w:val="Compact"/>
              <w:jc w:val="left"/>
            </w:pPr>
            <w:r>
              <w:t xml:space="preserve">0.51%</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5.40</w:t>
            </w:r>
          </w:p>
        </w:tc>
        <w:tc>
          <w:tcPr/>
          <w:p>
            <w:pPr>
              <w:pStyle w:val="Compact"/>
              <w:jc w:val="left"/>
            </w:pPr>
            <w:r>
              <w:t xml:space="preserve">22.77%</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0.2255</w:t>
            </w:r>
          </w:p>
        </w:tc>
        <w:tc>
          <w:tcPr/>
          <w:p>
            <w:pPr>
              <w:pStyle w:val="Compact"/>
              <w:jc w:val="left"/>
            </w:pPr>
            <w:r>
              <w:t xml:space="preserve">0.95%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w:t>
            </w:r>
          </w:p>
        </w:tc>
        <w:tc>
          <w:tcPr/>
          <w:p>
            <w:pPr>
              <w:pStyle w:val="Compact"/>
              <w:jc w:val="left"/>
            </w:pPr>
            <w:r>
              <w:t xml:space="preserve">31.62%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0.22</w:t>
            </w:r>
          </w:p>
        </w:tc>
        <w:tc>
          <w:tcPr/>
          <w:p>
            <w:pPr>
              <w:pStyle w:val="Compact"/>
              <w:jc w:val="left"/>
            </w:pPr>
            <w:r>
              <w:t xml:space="preserve">0.93%</w:t>
            </w:r>
          </w:p>
        </w:tc>
      </w:tr>
      <w:tr>
        <w:tc>
          <w:tcPr>
            <w:gridSpan w:val="2"/>
          </w:tcPr>
          <w:p>
            <w:pPr>
              <w:pStyle w:val="Compact"/>
              <w:jc w:val="right"/>
            </w:pPr>
            <w:r>
              <w:t xml:space="preserve">TOTAL PCF:</w:t>
            </w:r>
          </w:p>
        </w:tc>
        <w:tc>
          <w:tcPr/>
          <w:p>
            <w:pPr>
              <w:pStyle w:val="Compact"/>
              <w:jc w:val="left"/>
            </w:pPr>
            <w:r>
              <w:rPr>
                <w:bCs/>
                <w:b/>
              </w:rPr>
              <w:t xml:space="preserve">23.7155</w:t>
            </w:r>
          </w:p>
        </w:tc>
        <w:tc>
          <w:tcPr/>
          <w:p>
            <w:pPr>
              <w:pStyle w:val="Compact"/>
              <w:jc w:val="left"/>
            </w:pPr>
            <w:r>
              <w:rPr>
                <w:bCs/>
                <w:b/>
              </w:rPr>
              <w:t xml:space="preserve">100.00%</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hotspots-identification"/>
    <w:p>
      <w:pPr>
        <w:pStyle w:val="Heading3"/>
      </w:pPr>
      <w:r>
        <w:t xml:space="preserve">Hotspots Identification</w:t>
      </w:r>
    </w:p>
    <w:p>
      <w:pPr>
        <w:pStyle w:val="FirstParagraph"/>
      </w:pPr>
      <w:r>
        <w:t xml:space="preserve">The analysis reveals key emission hotspots in the lifecycle of jxekvoqnqg:</w:t>
      </w:r>
    </w:p>
    <w:p>
      <w:pPr>
        <w:numPr>
          <w:ilvl w:val="0"/>
          <w:numId w:val="1018"/>
        </w:numPr>
        <w:pStyle w:val="Compact"/>
      </w:pPr>
      <w:r>
        <w:rPr>
          <w:bCs/>
          <w:b/>
        </w:rPr>
        <w:t xml:space="preserve">Raw Material Acquisition &amp; Processing (Scope 3, Category 1):</w:t>
      </w:r>
      <w:r>
        <w:t xml:space="preserve"> </w:t>
      </w:r>
      <w:r>
        <w:t xml:space="preserve">This stage accounts for the largest portion of the PCF (43.22%), primarily driven by the energy-intensive production of materials like aluminium and electronic components.</w:t>
      </w:r>
    </w:p>
    <w:p>
      <w:pPr>
        <w:numPr>
          <w:ilvl w:val="0"/>
          <w:numId w:val="1018"/>
        </w:numPr>
        <w:pStyle w:val="Compact"/>
      </w:pPr>
      <w:r>
        <w:rPr>
          <w:bCs/>
          <w:b/>
        </w:rPr>
        <w:t xml:space="preserve">Use Phase (Scope 3, Category 11):</w:t>
      </w:r>
      <w:r>
        <w:t xml:space="preserve"> </w:t>
      </w:r>
      <w:r>
        <w:t xml:space="preserve">The energy consumed during the product\'s lifespan constitutes a significant share (31.62%) due to electrical consumption over several years.</w:t>
      </w:r>
    </w:p>
    <w:p>
      <w:pPr>
        <w:numPr>
          <w:ilvl w:val="0"/>
          <w:numId w:val="1018"/>
        </w:numPr>
        <w:pStyle w:val="Compact"/>
      </w:pPr>
      <w:r>
        <w:rPr>
          <w:bCs/>
          <w:b/>
        </w:rPr>
        <w:t xml:space="preserve">Manufacturing (Scope 2):</w:t>
      </w:r>
      <w:r>
        <w:t xml:space="preserve"> </w:t>
      </w:r>
      <w:r>
        <w:t xml:space="preserve">Purchased electricity for production represents a substantial segment (22.77%), highlighting the importance of the energy mix in the production country.</w:t>
      </w:r>
    </w:p>
    <w:bookmarkEnd w:id="43"/>
    <w:bookmarkStart w:id="44" w:name="reliability-of-data"/>
    <w:p>
      <w:pPr>
        <w:pStyle w:val="Heading3"/>
      </w:pPr>
      <w:r>
        <w:t xml:space="preserve">Reliability of Data</w:t>
      </w:r>
    </w:p>
    <w:p>
      <w:pPr>
        <w:pStyle w:val="FirstParagraph"/>
      </w:pPr>
      <w:r>
        <w:t xml:space="preserve">This report integrates both primary and secondary data. The Detailed Bill of Materials (BOM) for qorgtuve, along with specific parameters for renewable energy usage, energy intensity, product lifespan, energy consumption in use, recyclability, and circular programs, represent primary data points provided. Secondary data, including industry-average emission factors for materials, energy grids, and transportation modes, are sourced from reputable databases such as Ecoinvent and DEFRA for illustrative purposes. While these factors provide a robust estimate, the accuracy could be further enhanced with more granular, supplier-specific primary data across the entire value chain.</w:t>
      </w:r>
    </w:p>
    <w:bookmarkEnd w:id="44"/>
    <w:bookmarkStart w:id="45" w:name="ghg-protocol-adherence"/>
    <w:p>
      <w:pPr>
        <w:pStyle w:val="Heading3"/>
      </w:pPr>
      <w:r>
        <w:t xml:space="preserve">GHG Protocol Adherence</w:t>
      </w:r>
    </w:p>
    <w:p>
      <w:pPr>
        <w:pStyle w:val="FirstParagraph"/>
      </w:pPr>
      <w:r>
        <w:t xml:space="preserve">The Product Carbon Footprint analysis for jxekvoqnqg strictly adheres to the GHG Protocol\'s Corporate Value Chain (Scope 3) Accounting and Reporting Standard and the Product Life Cycle Accounting and Reporting Standard.</w:t>
      </w:r>
    </w:p>
    <w:p>
      <w:pPr>
        <w:numPr>
          <w:ilvl w:val="0"/>
          <w:numId w:val="1019"/>
        </w:numPr>
        <w:pStyle w:val="Compact"/>
      </w:pPr>
      <w:r>
        <w:rPr>
          <w:bCs/>
          <w:b/>
        </w:rPr>
        <w:t xml:space="preserve">Scope 1, 2, and 3 Categorization:</w:t>
      </w:r>
      <w:r>
        <w:t xml:space="preserve"> </w:t>
      </w:r>
      <w:r>
        <w:t xml:space="preserve">All identified emissions have been systematically categorized according to the GHG Protocol\'s three scopes, providing a clear understanding of direct, indirect from purchased energy, and other indirect value chain emissions.</w:t>
      </w:r>
    </w:p>
    <w:p>
      <w:pPr>
        <w:numPr>
          <w:ilvl w:val="0"/>
          <w:numId w:val="1019"/>
        </w:numPr>
        <w:pStyle w:val="Compact"/>
      </w:pPr>
      <w:r>
        <w:rPr>
          <w:bCs/>
          <w:b/>
        </w:rPr>
        <w:t xml:space="preserve">2026 LSR Update Application:</w:t>
      </w:r>
      <w:r>
        <w:t xml:space="preserve"> </w:t>
      </w:r>
      <w:r>
        <w:t xml:space="preserve">The principles of the GHG Protocol Land Sector and Removals (LSR) Standard, published in January 2026 and effective January 1, 2027, have been considered in the methodology. While specific land-use data was not provided for jxekvoqnqg, the framework for accounting for potential land-based emissions and CO₂ removals would be applied where relevant in future, more detailed assessments, particularly for bio-based materials or land-intensive processes within the supply chain.</w:t>
      </w:r>
    </w:p>
    <w:p>
      <w:pPr>
        <w:numPr>
          <w:ilvl w:val="0"/>
          <w:numId w:val="1019"/>
        </w:numPr>
        <w:pStyle w:val="Compact"/>
      </w:pPr>
      <w:r>
        <w:rPr>
          <w:bCs/>
          <w:b/>
        </w:rPr>
        <w:t xml:space="preserve">Scope 3 Compliance:</w:t>
      </w:r>
      <w:r>
        <w:t xml:space="preserve"> </w:t>
      </w:r>
      <w:r>
        <w:t xml:space="preserve">With the integration of detailed BOM, transport, use phase, and end-of-life data, this analysis achieves significant coverage of Scope 3 emissions. Efforts have been made to ensure at least 95% coverage for Scope 3 reporting, as per upcoming 2026 requirements, by systematically addressing all major categories relevant to the product\'s lifecycle.</w:t>
      </w:r>
    </w:p>
    <w:p>
      <w:r>
        <w:pict>
          <v:rect style="width:0;height:1.5pt" o:hralign="center" o:hrstd="t" o:hr="t"/>
        </w:pict>
      </w:r>
    </w:p>
    <w:bookmarkEnd w:id="45"/>
    <w:bookmarkEnd w:id="46"/>
    <w:bookmarkStart w:id="47" w:name="hotspots-and-recommendations"/>
    <w:p>
      <w:pPr>
        <w:pStyle w:val="Heading2"/>
      </w:pPr>
      <w:r>
        <w:t xml:space="preserve">Hotspots and Recommendations</w:t>
      </w:r>
    </w:p>
    <w:p>
      <w:pPr>
        <w:pStyle w:val="FirstParagraph"/>
      </w:pPr>
      <w:r>
        <w:t xml:space="preserve">Based on the PCF analysis, the following recommendations are put forth to lkvopprjvx for reducing the carbon footprint of jxekvoqnqg:</w:t>
      </w:r>
    </w:p>
    <w:p>
      <w:pPr>
        <w:numPr>
          <w:ilvl w:val="0"/>
          <w:numId w:val="1020"/>
        </w:numPr>
        <w:pStyle w:val="Compact"/>
      </w:pPr>
      <w:r>
        <w:rPr>
          <w:bCs/>
          <w:b/>
        </w:rPr>
        <w:t xml:space="preserve">Material Optimization:</w:t>
      </w:r>
      <w:r>
        <w:t xml:space="preserve"> </w:t>
      </w:r>
      <w:r>
        <w:t xml:space="preserve">Focus on sourcing lower-carbon alternative materials for the main components, particularly aluminium and electronic parts. Engaging with suppliers to obtain their primary PCF data for materials can drive more accurate reductions.</w:t>
      </w:r>
    </w:p>
    <w:p>
      <w:pPr>
        <w:numPr>
          <w:ilvl w:val="0"/>
          <w:numId w:val="1020"/>
        </w:numPr>
        <w:pStyle w:val="Compact"/>
      </w:pPr>
      <w:r>
        <w:rPr>
          <w:bCs/>
          <w:b/>
        </w:rPr>
        <w:t xml:space="preserve">Manufacturing Energy Decarbonization:</w:t>
      </w:r>
      <w:r>
        <w:t xml:space="preserve"> </w:t>
      </w:r>
      <w:r>
        <w:t xml:space="preserve">Increase the percentage of renewable energy usage at the production facility in China. Explore options for purchasing renewable energy certificates or investing in on-site renewable energy generation to further reduce Scope 2 emissions.</w:t>
      </w:r>
    </w:p>
    <w:p>
      <w:pPr>
        <w:numPr>
          <w:ilvl w:val="0"/>
          <w:numId w:val="1020"/>
        </w:numPr>
        <w:pStyle w:val="Compact"/>
      </w:pPr>
      <w:r>
        <w:rPr>
          <w:bCs/>
          <w:b/>
        </w:rPr>
        <w:t xml:space="preserve">Use Phase Efficiency:</w:t>
      </w:r>
      <w:r>
        <w:t xml:space="preserve"> </w:t>
      </w:r>
      <w:r>
        <w:t xml:space="preserve">Invest in product design innovations that significantly reduce energy consumption during the product\'s lifespan. Educate consumers on energy-efficient usage patterns and maintenance practices.</w:t>
      </w:r>
    </w:p>
    <w:p>
      <w:pPr>
        <w:numPr>
          <w:ilvl w:val="0"/>
          <w:numId w:val="1020"/>
        </w:numPr>
        <w:pStyle w:val="Compact"/>
      </w:pPr>
      <w:r>
        <w:rPr>
          <w:bCs/>
          <w:b/>
        </w:rPr>
        <w:t xml:space="preserve">Logistics Optimization:</w:t>
      </w:r>
      <w:r>
        <w:t xml:space="preserve"> </w:t>
      </w:r>
      <w:r>
        <w:t xml:space="preserve">Review and optimize transportation routes and modes, especially for upstream and downstream freight. Prioritize carriers with lower emission intensities and explore options for consolidated shipments.</w:t>
      </w:r>
    </w:p>
    <w:p>
      <w:pPr>
        <w:numPr>
          <w:ilvl w:val="0"/>
          <w:numId w:val="1020"/>
        </w:numPr>
        <w:pStyle w:val="Compact"/>
      </w:pPr>
      <w:r>
        <w:rPr>
          <w:bCs/>
          <w:b/>
        </w:rPr>
        <w:t xml:space="preserve">Circular Economy Initiatives:</w:t>
      </w:r>
      <w:r>
        <w:t xml:space="preserve"> </w:t>
      </w:r>
      <w:r>
        <w:t xml:space="preserve">Enhance existing circular/take-back programs and explore partnerships for advanced recycling technologies to maximize material recovery and minimize end-of-life emissions. Increase the recycled content in new products where feasible.</w:t>
      </w:r>
    </w:p>
    <w:p>
      <w:r>
        <w:pict>
          <v:rect style="width:0;height:1.5pt" o:hralign="center" o:hrstd="t" o:hr="t"/>
        </w:pict>
      </w:r>
    </w:p>
    <w:p>
      <w:pPr>
        <w:pStyle w:val="FirstParagraph"/>
      </w:pPr>
      <w:r>
        <w:t xml:space="preserve">Confidential - Internal Use Only | 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jxekvoqnqg</dc:title>
  <dc:creator/>
  <dc:description>Detailed Product Carbon Footprint (PCF) analysis for product jxekvoqnqg, following GHG Protocol standards and 2026 LSR update, prepared by Senior Sustainability Consultant insqkgurxv for lkvopprjvx.</dc:description>
  <dc:language>en</dc:language>
  <cp:keywords/>
  <dcterms:created xsi:type="dcterms:W3CDTF">2026-07-15T09:25:26Z</dcterms:created>
  <dcterms:modified xsi:type="dcterms:W3CDTF">2026-07-15T09:25:26Z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