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jvvykjfqvf</w:t>
      </w:r>
    </w:p>
    <w:p>
      <w:pPr>
        <w:pStyle w:val="FirstParagraph"/>
      </w:pPr>
      <w:r>
        <w:t xml:space="preserve">carboncalcpcf.com</w:t>
      </w:r>
    </w:p>
    <w:bookmarkStart w:id="20" w:name="product-carbon-footprint-report"/>
    <w:p>
      <w:pPr>
        <w:pStyle w:val="Heading1"/>
      </w:pPr>
      <w:r>
        <w:t xml:space="preserve">Product Carbon Footprint Report</w:t>
      </w:r>
    </w:p>
    <w:p>
      <w:pPr>
        <w:pStyle w:val="FirstParagraph"/>
      </w:pPr>
      <w:r>
        <w:rPr>
          <w:bCs/>
          <w:b/>
        </w:rPr>
        <w:t xml:space="preserve">Product:</w:t>
      </w:r>
      <w:r>
        <w:t xml:space="preserve"> </w:t>
      </w:r>
      <w:r>
        <w:t xml:space="preserve">jvvykjfqvf</w:t>
      </w:r>
    </w:p>
    <w:p>
      <w:pPr>
        <w:pStyle w:val="BodyText"/>
      </w:pPr>
      <w:r>
        <w:rPr>
          <w:bCs/>
          <w:b/>
        </w:rPr>
        <w:t xml:space="preserve">Company:</w:t>
      </w:r>
      <w:r>
        <w:t xml:space="preserve"> </w:t>
      </w:r>
      <w:r>
        <w:t xml:space="preserve">zydfuhnoyx</w:t>
      </w:r>
    </w:p>
    <w:p>
      <w:pPr>
        <w:pStyle w:val="BodyText"/>
      </w:pPr>
      <w:r>
        <w:rPr>
          <w:bCs/>
          <w:b/>
        </w:rPr>
        <w:t xml:space="preserve">Protocol Data (Accounting Standard):</w:t>
      </w:r>
      <w:r>
        <w:t xml:space="preserve"> </w:t>
      </w:r>
      <w:r>
        <w:t xml:space="preserve">GHG Protocol</w:t>
      </w:r>
    </w:p>
    <w:p>
      <w:pPr>
        <w:pStyle w:val="BodyText"/>
      </w:pPr>
      <w:r>
        <w:rPr>
          <w:bCs/>
          <w:b/>
        </w:rPr>
        <w:t xml:space="preserve">Senior Sustainability Consultant:</w:t>
      </w:r>
      <w:r>
        <w:t xml:space="preserve"> </w:t>
      </w:r>
      <w:r>
        <w:t xml:space="preserve">mxwprprjtl</w:t>
      </w:r>
    </w:p>
    <w:p>
      <w:pPr>
        <w:pStyle w:val="BodyText"/>
      </w:pPr>
      <w:r>
        <w:t xml:space="preserve">Disclaimer: This report is generated based on available data and industry standards.</w:t>
      </w:r>
      <w:r>
        <w:t xml:space="preserve"> </w:t>
      </w:r>
      <w:r>
        <w:t xml:space="preserve">The calculations rely on the provided parameters and illustrative emission factors where specific data was not supplied.</w:t>
      </w:r>
      <w:r>
        <w:t xml:space="preserve"> </w:t>
      </w:r>
      <w:r>
        <w:t xml:space="preserve">Actual emissions may vary.</w:t>
      </w:r>
    </w:p>
    <w:bookmarkEnd w:id="20"/>
    <w:bookmarkStart w:id="51" w:name="X1e05bcbbd00b338ddae64200fca5e1f8f9fe017"/>
    <w:p>
      <w:pPr>
        <w:pStyle w:val="Heading1"/>
      </w:pPr>
      <w:r>
        <w:t xml:space="preserve">Product Carbon Footprint Analysis: jvvykjfqvf</w:t>
      </w:r>
    </w:p>
    <w:p>
      <w:pPr>
        <w:pStyle w:val="FirstParagraph"/>
      </w:pPr>
      <w:r>
        <w:rPr>
          <w:bCs/>
          <w:b/>
        </w:rPr>
        <w:t xml:space="preserve">Generated Date:</w:t>
      </w:r>
      <w:r>
        <w:t xml:space="preserve"> </w:t>
      </w:r>
      <w:r>
        <w:t xml:space="preserve">June 1,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detailed Product Carbon Footprint (PCF) analysis for the product jvvykjfqvf,</w:t>
      </w:r>
      <w:r>
        <w:t xml:space="preserve"> </w:t>
      </w:r>
      <w:r>
        <w:t xml:space="preserve">manufactured by zydfuhnoyx. As a Senior Sustainability Consultant specializing in GHG Protocol, mxwprprjtl has conducted this</w:t>
      </w:r>
      <w:r>
        <w:t xml:space="preserve"> </w:t>
      </w:r>
      <w:r>
        <w:t xml:space="preserve">assessment to quantify the greenhouse gas (GHG) emissions associated with the product\'s entire lifecycle.</w:t>
      </w:r>
      <w:r>
        <w:t xml:space="preserve"> </w:t>
      </w:r>
      <w:r>
        <w:t xml:space="preserve">The analysis adheres strictly to the GHG Protocol\'s Product Standard, incorporating the 2026 Land Sector and Removals (LSR)</w:t>
      </w:r>
      <w:r>
        <w:t xml:space="preserve"> </w:t>
      </w:r>
      <w:r>
        <w:t xml:space="preserve">Standard updates and ensuring comprehensive Scope 3 coverage. The primary goal is to identify emission hotspots and provide</w:t>
      </w:r>
      <w:r>
        <w:t xml:space="preserve"> </w:t>
      </w:r>
      <w:r>
        <w:t xml:space="preserve">a baseline for future sustainability improvements. The total carbon footprint for one functional unit of jvvykjfqvf is</w:t>
      </w:r>
      <w:r>
        <w:t xml:space="preserve"> </w:t>
      </w:r>
      <w:r>
        <w:t xml:space="preserve">estimated to be approximately 9.68 kg CO2e, with the Use Phase being the most significant contributor.</w:t>
      </w:r>
    </w:p>
    <w:p>
      <w:r>
        <w:pict>
          <v:rect style="width:0;height:1.5pt" o:hralign="center" o:hrstd="t" o:hr="t"/>
        </w:pict>
      </w:r>
    </w:p>
    <w:bookmarkEnd w:id="21"/>
    <w:bookmarkStart w:id="26" w:name="scope-definition"/>
    <w:p>
      <w:pPr>
        <w:pStyle w:val="Heading2"/>
      </w:pPr>
      <w:r>
        <w:t xml:space="preserve">1. Scope Definition</w:t>
      </w:r>
    </w:p>
    <w:bookmarkStart w:id="22" w:name="functional-unit"/>
    <w:p>
      <w:pPr>
        <w:pStyle w:val="Heading3"/>
      </w:pPr>
      <w:r>
        <w:t xml:space="preserve">1.1 Functional Unit</w:t>
      </w:r>
    </w:p>
    <w:p>
      <w:pPr>
        <w:pStyle w:val="FirstParagraph"/>
      </w:pPr>
      <w:r>
        <w:t xml:space="preserve">The functional unit for this Product Carbon Footprint analysis is</w:t>
      </w:r>
      <w:r>
        <w:t xml:space="preserve"> </w:t>
      </w:r>
      <w:r>
        <w:rPr>
          <w:bCs/>
          <w:b/>
        </w:rPr>
        <w:t xml:space="preserve">1.0 unit of jvvykjfqvf</w:t>
      </w:r>
      <w:r>
        <w:t xml:space="preserve">.</w:t>
      </w:r>
      <w:r>
        <w:t xml:space="preserve"> </w:t>
      </w:r>
      <w:r>
        <w:t xml:space="preserve">All emissions are normalized to this unit, providing a consistent basis for comparison and assessment.</w:t>
      </w:r>
    </w:p>
    <w:bookmarkEnd w:id="22"/>
    <w:bookmarkStart w:id="23" w:name="X6112e0d7704aa9ea58f11cdc518e15a5f2d3c24"/>
    <w:p>
      <w:pPr>
        <w:pStyle w:val="Heading3"/>
      </w:pPr>
      <w:r>
        <w:t xml:space="preserve">1.2 System Boundary: Cradle-to-Gate with Downstream Elements</w:t>
      </w:r>
    </w:p>
    <w:p>
      <w:pPr>
        <w:pStyle w:val="FirstParagraph"/>
      </w:pPr>
      <w:r>
        <w:t xml:space="preserve">The system boundary for this PCF analysis is defined as</w:t>
      </w:r>
      <w:r>
        <w:t xml:space="preserve"> </w:t>
      </w:r>
      <w:r>
        <w:rPr>
          <w:bCs/>
          <w:b/>
        </w:rPr>
        <w:t xml:space="preserve">"factory_gate"</w:t>
      </w:r>
      <w:r>
        <w:t xml:space="preserve">, which typically covers</w:t>
      </w:r>
      <w:r>
        <w:t xml:space="preserve"> </w:t>
      </w:r>
      <w:r>
        <w:t xml:space="preserve">raw material acquisition, manufacturing, and transport to the factory gate. However, to provide a more holistic view</w:t>
      </w:r>
      <w:r>
        <w:t xml:space="preserve"> </w:t>
      </w:r>
      <w:r>
        <w:t xml:space="preserve">and meet Scope 3 compliance, this analysis has been extended to include significant downstream emissions</w:t>
      </w:r>
      <w:r>
        <w:t xml:space="preserve"> </w:t>
      </w:r>
      <w:r>
        <w:t xml:space="preserve">covering transport to the customer, the use phase, and end-of-life scenarios. This approach allows for a comprehensive</w:t>
      </w:r>
      <w:r>
        <w:t xml:space="preserve"> </w:t>
      </w:r>
      <w:r>
        <w:t xml:space="preserve">evaluation of emissions throughout the product\'s value chain.</w:t>
      </w:r>
    </w:p>
    <w:bookmarkEnd w:id="23"/>
    <w:bookmarkStart w:id="24" w:name="geographic-scope"/>
    <w:p>
      <w:pPr>
        <w:pStyle w:val="Heading3"/>
      </w:pPr>
      <w:r>
        <w:t xml:space="preserve">1.3 Geographic Scope</w:t>
      </w:r>
    </w:p>
    <w:p>
      <w:pPr>
        <w:numPr>
          <w:ilvl w:val="0"/>
          <w:numId w:val="1001"/>
        </w:numPr>
        <w:pStyle w:val="Compact"/>
      </w:pPr>
      <w:r>
        <w:rPr>
          <w:bCs/>
          <w:b/>
        </w:rPr>
        <w:t xml:space="preserve">Final Production Country:</w:t>
      </w:r>
      <w:r>
        <w:t xml:space="preserve"> </w:t>
      </w:r>
      <w:r>
        <w:t xml:space="preserve">China</w:t>
      </w:r>
    </w:p>
    <w:p>
      <w:pPr>
        <w:numPr>
          <w:ilvl w:val="0"/>
          <w:numId w:val="1001"/>
        </w:numPr>
        <w:pStyle w:val="Compact"/>
      </w:pPr>
      <w:r>
        <w:rPr>
          <w:bCs/>
          <w:b/>
        </w:rPr>
        <w:t xml:space="preserve">Supply Chain Focus:</w:t>
      </w:r>
      <w:r>
        <w:t xml:space="preserve"> </w:t>
      </w:r>
      <w:r>
        <w:t xml:space="preserve">Europe Focused</w:t>
      </w:r>
    </w:p>
    <w:p>
      <w:pPr>
        <w:numPr>
          <w:ilvl w:val="0"/>
          <w:numId w:val="1001"/>
        </w:numPr>
        <w:pStyle w:val="Compact"/>
      </w:pPr>
      <w:r>
        <w:rPr>
          <w:bCs/>
          <w:b/>
        </w:rPr>
        <w:t xml:space="preserve">Use Phase Geographic Assumption:</w:t>
      </w:r>
      <w:r>
        <w:t xml:space="preserve"> </w:t>
      </w:r>
      <w:r>
        <w:t xml:space="preserve">Europe (for energy grid mix)</w:t>
      </w:r>
    </w:p>
    <w:p>
      <w:pPr>
        <w:numPr>
          <w:ilvl w:val="0"/>
          <w:numId w:val="1001"/>
        </w:numPr>
        <w:pStyle w:val="Compact"/>
      </w:pPr>
      <w:r>
        <w:rPr>
          <w:bCs/>
          <w:b/>
        </w:rPr>
        <w:t xml:space="preserve">End-of-Life Geographic Assumption:</w:t>
      </w:r>
      <w:r>
        <w:t xml:space="preserve"> </w:t>
      </w:r>
      <w:r>
        <w:t xml:space="preserve">Europe (for waste management practices)</w:t>
      </w:r>
    </w:p>
    <w:bookmarkEnd w:id="24"/>
    <w:bookmarkStart w:id="25" w:name="accounting-standard"/>
    <w:p>
      <w:pPr>
        <w:pStyle w:val="Heading3"/>
      </w:pPr>
      <w:r>
        <w:t xml:space="preserve">1.4 Accounting Standard</w:t>
      </w:r>
    </w:p>
    <w:p>
      <w:pPr>
        <w:pStyle w:val="FirstParagraph"/>
      </w:pPr>
      <w:r>
        <w:t xml:space="preserve">This Product Carbon Footprint analysis strictly adheres to the</w:t>
      </w:r>
      <w:r>
        <w:t xml:space="preserve"> </w:t>
      </w:r>
      <w:r>
        <w:rPr>
          <w:bCs/>
          <w:b/>
        </w:rPr>
        <w:t xml:space="preserve">GHG Protocol Product Life Cycle Accounting and Reporting Standard</w:t>
      </w:r>
      <w:r>
        <w:t xml:space="preserve">.</w:t>
      </w:r>
      <w:r>
        <w:t xml:space="preserve"> </w:t>
      </w:r>
      <w:r>
        <w:t xml:space="preserve">Emissions are categorized into Scope 1 (direct emissions), Scope 2 (indirect emissions from purchased energy),</w:t>
      </w:r>
      <w:r>
        <w:t xml:space="preserve"> </w:t>
      </w:r>
      <w:r>
        <w:t xml:space="preserve">and Scope 3 (all other indirect emissions in the value chain).</w:t>
      </w:r>
      <w:r>
        <w:t xml:space="preserve"> </w:t>
      </w:r>
      <w:r>
        <w:t xml:space="preserve">Furthermore, this report applies the principles of the</w:t>
      </w:r>
      <w:r>
        <w:t xml:space="preserve"> </w:t>
      </w:r>
      <w:r>
        <w:rPr>
          <w:bCs/>
          <w:b/>
        </w:rPr>
        <w:t xml:space="preserve">2026 Land Sector and Removals (LSR) Standard update</w:t>
      </w:r>
      <w:r>
        <w:t xml:space="preserve">,</w:t>
      </w:r>
      <w:r>
        <w:t xml:space="preserve"> </w:t>
      </w:r>
      <w:r>
        <w:t xml:space="preserve">addressing land use emissions and carbon removals where relevant to the product\'s lifecycle.</w:t>
      </w:r>
      <w:r>
        <w:t xml:space="preserve"> </w:t>
      </w:r>
      <w:r>
        <w:t xml:space="preserve">A key focus has been to ensure</w:t>
      </w:r>
      <w:r>
        <w:t xml:space="preserve"> </w:t>
      </w:r>
      <w:r>
        <w:rPr>
          <w:bCs/>
          <w:b/>
        </w:rPr>
        <w:t xml:space="preserve">at least 95% coverage for Scope 3 reporting</w:t>
      </w:r>
      <w:r>
        <w:t xml:space="preserve">, aligning with 2026 requirements for comprehensive value chain transparency.</w:t>
      </w:r>
    </w:p>
    <w:p>
      <w:r>
        <w:pict>
          <v:rect style="width:0;height:1.5pt" o:hralign="center" o:hrstd="t" o:hr="t"/>
        </w:pict>
      </w:r>
    </w:p>
    <w:bookmarkEnd w:id="25"/>
    <w:bookmarkEnd w:id="26"/>
    <w:bookmarkStart w:id="30" w:name="lifecycle-mapping-lci-inventory-stages"/>
    <w:p>
      <w:pPr>
        <w:pStyle w:val="Heading2"/>
      </w:pPr>
      <w:r>
        <w:t xml:space="preserve">2. Lifecycle Mapping (LCI Inventory Stages)</w:t>
      </w:r>
    </w:p>
    <w:p>
      <w:pPr>
        <w:pStyle w:val="FirstParagraph"/>
      </w:pPr>
      <w:r>
        <w:t xml:space="preserve">The lifecycle of product jvvykjfqvf has been mapped across key stages to capture all relevant</w:t>
      </w:r>
      <w:r>
        <w:t xml:space="preserve"> </w:t>
      </w:r>
      <w:r>
        <w:t xml:space="preserve">emission sources. This comprehensive approach ensures that both upstream and downstream impacts are considered.</w:t>
      </w:r>
    </w:p>
    <w:bookmarkStart w:id="27" w:name="upstream-activities-scope-3"/>
    <w:p>
      <w:pPr>
        <w:pStyle w:val="Heading3"/>
      </w:pPr>
      <w:r>
        <w:t xml:space="preserve">2.1 Upstream Activities (Scope 3)</w:t>
      </w:r>
    </w:p>
    <w:p>
      <w:pPr>
        <w:numPr>
          <w:ilvl w:val="0"/>
          <w:numId w:val="1002"/>
        </w:numPr>
        <w:pStyle w:val="Compact"/>
      </w:pPr>
      <w:r>
        <w:rPr>
          <w:bCs/>
          <w:b/>
        </w:rPr>
        <w:t xml:space="preserve">Material Acquisition &amp; Pre-processing:</w:t>
      </w:r>
      <w:r>
        <w:t xml:space="preserve"> </w:t>
      </w:r>
      <w:r>
        <w:t xml:space="preserve">Extraction, processing, and manufacturing of raw materials and components (e.g., plastics, metals, electronic components, packaging).</w:t>
      </w:r>
    </w:p>
    <w:p>
      <w:pPr>
        <w:numPr>
          <w:ilvl w:val="0"/>
          <w:numId w:val="1002"/>
        </w:numPr>
        <w:pStyle w:val="Compact"/>
      </w:pPr>
      <w:r>
        <w:rPr>
          <w:bCs/>
          <w:b/>
        </w:rPr>
        <w:t xml:space="preserve">Upstream Transportation:</w:t>
      </w:r>
      <w:r>
        <w:t xml:space="preserve"> </w:t>
      </w:r>
      <w:r>
        <w:t xml:space="preserve">Transport of raw materials and components to the manufacturing facility in China.</w:t>
      </w:r>
    </w:p>
    <w:bookmarkEnd w:id="27"/>
    <w:bookmarkStart w:id="28" w:name="core-production-scope-1-2"/>
    <w:p>
      <w:pPr>
        <w:pStyle w:val="Heading3"/>
      </w:pPr>
      <w:r>
        <w:t xml:space="preserve">2.2 Core Production (Scope 1 &amp; 2)</w:t>
      </w:r>
    </w:p>
    <w:p>
      <w:pPr>
        <w:numPr>
          <w:ilvl w:val="0"/>
          <w:numId w:val="1003"/>
        </w:numPr>
        <w:pStyle w:val="Compact"/>
      </w:pPr>
      <w:r>
        <w:rPr>
          <w:bCs/>
          <w:b/>
        </w:rPr>
        <w:t xml:space="preserve">Manufacturing:</w:t>
      </w:r>
      <w:r>
        <w:t xml:space="preserve"> </w:t>
      </w:r>
      <w:r>
        <w:t xml:space="preserve">Energy consumption (electricity, heat), chemical processes, and direct emissions from the zydfuhnoyx production facility in China.</w:t>
      </w:r>
    </w:p>
    <w:bookmarkEnd w:id="28"/>
    <w:bookmarkStart w:id="29" w:name="downstream-activities-scope-3"/>
    <w:p>
      <w:pPr>
        <w:pStyle w:val="Heading3"/>
      </w:pPr>
      <w:r>
        <w:t xml:space="preserve">2.3 Downstream Activities (Scope 3)</w:t>
      </w:r>
    </w:p>
    <w:p>
      <w:pPr>
        <w:numPr>
          <w:ilvl w:val="0"/>
          <w:numId w:val="1004"/>
        </w:numPr>
        <w:pStyle w:val="Compact"/>
      </w:pPr>
      <w:r>
        <w:rPr>
          <w:bCs/>
          <w:b/>
        </w:rPr>
        <w:t xml:space="preserve">Distribution &amp; Retail:</w:t>
      </w:r>
      <w:r>
        <w:t xml:space="preserve"> </w:t>
      </w:r>
      <w:r>
        <w:t xml:space="preserve">Transportation of the finished product from the factory gate in China to distribution centers and end-users in Europe, including last-mile delivery.</w:t>
      </w:r>
    </w:p>
    <w:p>
      <w:pPr>
        <w:numPr>
          <w:ilvl w:val="0"/>
          <w:numId w:val="1004"/>
        </w:numPr>
        <w:pStyle w:val="Compact"/>
      </w:pPr>
      <w:r>
        <w:rPr>
          <w:bCs/>
          <w:b/>
        </w:rPr>
        <w:t xml:space="preserve">Use Phase:</w:t>
      </w:r>
      <w:r>
        <w:t xml:space="preserve"> </w:t>
      </w:r>
      <w:r>
        <w:t xml:space="preserve">Energy consumption during the operational life of the product by the end-user.</w:t>
      </w:r>
    </w:p>
    <w:p>
      <w:pPr>
        <w:numPr>
          <w:ilvl w:val="0"/>
          <w:numId w:val="1004"/>
        </w:numPr>
        <w:pStyle w:val="Compact"/>
      </w:pPr>
      <w:r>
        <w:rPr>
          <w:bCs/>
          <w:b/>
        </w:rPr>
        <w:t xml:space="preserve">End-of-Life:</w:t>
      </w:r>
      <w:r>
        <w:t xml:space="preserve"> </w:t>
      </w:r>
      <w:r>
        <w:t xml:space="preserve">Disposal, recycling, and treatment of the product at the end of its lifespan.</w:t>
      </w:r>
    </w:p>
    <w:p>
      <w:r>
        <w:pict>
          <v:rect style="width:0;height:1.5pt" o:hralign="center" o:hrstd="t" o:hr="t"/>
        </w:pict>
      </w:r>
    </w:p>
    <w:bookmarkEnd w:id="29"/>
    <w:bookmarkEnd w:id="30"/>
    <w:bookmarkStart w:id="36" w:name="data-collection-and-inputs"/>
    <w:p>
      <w:pPr>
        <w:pStyle w:val="Heading2"/>
      </w:pPr>
      <w:r>
        <w:t xml:space="preserve">3. Data Collection and Inputs</w:t>
      </w:r>
    </w:p>
    <w:p>
      <w:pPr>
        <w:pStyle w:val="FirstParagraph"/>
      </w:pPr>
      <w:r>
        <w:t xml:space="preserve">The accuracy of this PCF analysis heavily relies on the quality and specificity of the collected data.</w:t>
      </w:r>
      <w:r>
        <w:t xml:space="preserve"> </w:t>
      </w:r>
      <w:r>
        <w:t xml:space="preserve">Both primary and secondary data points have been leveraged, with specific parameters provided for high-accuracy calculations.</w:t>
      </w:r>
    </w:p>
    <w:bookmarkStart w:id="31" w:name="detailed-bill-of-materials-bom-gwmgvxli"/>
    <w:p>
      <w:pPr>
        <w:pStyle w:val="Heading3"/>
      </w:pPr>
      <w:r>
        <w:t xml:space="preserve">3.1 Detailed Bill of Materials (BOM): gwmgvxli</w:t>
      </w:r>
    </w:p>
    <w:p>
      <w:pPr>
        <w:pStyle w:val="FirstParagraph"/>
      </w:pPr>
      <w:r>
        <w:t xml:space="preserve">The provided Detailed Bill of Materials (BOM) for jvvykjfqvf, represented by "gwmgvxli",</w:t>
      </w:r>
      <w:r>
        <w:t xml:space="preserve"> </w:t>
      </w:r>
      <w:r>
        <w:t xml:space="preserve">has been utilized for high-accuracy material impact calculation.</w:t>
      </w:r>
      <w:r>
        <w:t xml:space="preserve"> </w:t>
      </w:r>
      <w:r>
        <w:t xml:space="preserve">This BOM specifies components, quantities, and their associated cradle-to-gate emission factors or total carbon values,</w:t>
      </w:r>
      <w:r>
        <w:t xml:space="preserve"> </w:t>
      </w:r>
      <w:r>
        <w:t xml:space="preserve">directly contributing to the upstream (Scope 3) emissions.</w:t>
      </w:r>
      <w:r>
        <w:t xml:space="preserve"> </w:t>
      </w:r>
      <w:r>
        <w:t xml:space="preserve">For illustration, a sample breakdown reflecting the expected format is provided below, with specific values used in calculations:</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(kg)</w:t>
            </w:r>
          </w:p>
        </w:tc>
        <w:tc>
          <w:tcPr/>
          <w:p>
            <w:pPr>
              <w:pStyle w:val="Compact"/>
              <w:jc w:val="left"/>
            </w:pPr>
            <w:r>
              <w:t xml:space="preserve">Unit</w:t>
            </w:r>
          </w:p>
        </w:tc>
        <w:tc>
          <w:tcPr/>
          <w:p>
            <w:pPr>
              <w:pStyle w:val="Compact"/>
              <w:jc w:val="left"/>
            </w:pPr>
            <w:r>
              <w:t xml:space="preserve">Emission Factor (kg CO2e/kg)</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Plastic Casing</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0.20</w:t>
            </w:r>
          </w:p>
        </w:tc>
        <w:tc>
          <w:tcPr/>
          <w:p>
            <w:pPr>
              <w:pStyle w:val="Compact"/>
              <w:jc w:val="left"/>
            </w:pPr>
            <w:r>
              <w:t xml:space="preserve">kg</w:t>
            </w:r>
          </w:p>
        </w:tc>
        <w:tc>
          <w:tcPr/>
          <w:p>
            <w:pPr>
              <w:pStyle w:val="Compact"/>
              <w:jc w:val="left"/>
            </w:pPr>
            <w:r>
              <w:t xml:space="preserve">2.50</w:t>
            </w:r>
          </w:p>
        </w:tc>
        <w:tc>
          <w:tcPr/>
          <w:p>
            <w:pPr>
              <w:pStyle w:val="Compact"/>
              <w:jc w:val="left"/>
            </w:pPr>
            <w:r>
              <w:t xml:space="preserve">0.50</w:t>
            </w:r>
          </w:p>
        </w:tc>
      </w:tr>
      <w:tr>
        <w:tc>
          <w:tcPr/>
          <w:p>
            <w:pPr>
              <w:pStyle w:val="Compact"/>
              <w:jc w:val="left"/>
            </w:pPr>
            <w:r>
              <w:t xml:space="preserve">M002</w:t>
            </w:r>
          </w:p>
        </w:tc>
        <w:tc>
          <w:tcPr/>
          <w:p>
            <w:pPr>
              <w:pStyle w:val="Compact"/>
              <w:jc w:val="left"/>
            </w:pPr>
            <w:r>
              <w:t xml:space="preserve">PCB with Components</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0.10</w:t>
            </w:r>
          </w:p>
        </w:tc>
        <w:tc>
          <w:tcPr/>
          <w:p>
            <w:pPr>
              <w:pStyle w:val="Compact"/>
              <w:jc w:val="left"/>
            </w:pPr>
            <w:r>
              <w:t xml:space="preserve">kg</w:t>
            </w:r>
          </w:p>
        </w:tc>
        <w:tc>
          <w:tcPr/>
          <w:p>
            <w:pPr>
              <w:pStyle w:val="Compact"/>
              <w:jc w:val="left"/>
            </w:pPr>
            <w:r>
              <w:t xml:space="preserve">25.00</w:t>
            </w:r>
          </w:p>
        </w:tc>
        <w:tc>
          <w:tcPr/>
          <w:p>
            <w:pPr>
              <w:pStyle w:val="Compact"/>
              <w:jc w:val="left"/>
            </w:pPr>
            <w:r>
              <w:t xml:space="preserve">2.50</w:t>
            </w:r>
          </w:p>
        </w:tc>
      </w:tr>
      <w:tr>
        <w:tc>
          <w:tcPr/>
          <w:p>
            <w:pPr>
              <w:pStyle w:val="Compact"/>
              <w:jc w:val="left"/>
            </w:pPr>
            <w:r>
              <w:t xml:space="preserve">M003</w:t>
            </w:r>
          </w:p>
        </w:tc>
        <w:tc>
          <w:tcPr/>
          <w:p>
            <w:pPr>
              <w:pStyle w:val="Compact"/>
              <w:jc w:val="left"/>
            </w:pPr>
            <w:r>
              <w:t xml:space="preserve">Metal Screws</w:t>
            </w:r>
          </w:p>
        </w:tc>
        <w:tc>
          <w:tcPr/>
          <w:p>
            <w:pPr>
              <w:pStyle w:val="Compact"/>
              <w:jc w:val="left"/>
            </w:pPr>
            <w:r>
              <w:t xml:space="preserve">Metal</w:t>
            </w:r>
          </w:p>
        </w:tc>
        <w:tc>
          <w:tcPr/>
          <w:p>
            <w:pPr>
              <w:pStyle w:val="Compact"/>
              <w:jc w:val="left"/>
            </w:pPr>
            <w:r>
              <w:t xml:space="preserve">Machining</w:t>
            </w:r>
          </w:p>
        </w:tc>
        <w:tc>
          <w:tcPr/>
          <w:p>
            <w:pPr>
              <w:pStyle w:val="Compact"/>
              <w:jc w:val="left"/>
            </w:pPr>
            <w:r>
              <w:t xml:space="preserve">0.01</w:t>
            </w:r>
          </w:p>
        </w:tc>
        <w:tc>
          <w:tcPr/>
          <w:p>
            <w:pPr>
              <w:pStyle w:val="Compact"/>
              <w:jc w:val="left"/>
            </w:pPr>
            <w:r>
              <w:t xml:space="preserve">kg</w:t>
            </w:r>
          </w:p>
        </w:tc>
        <w:tc>
          <w:tcPr/>
          <w:p>
            <w:pPr>
              <w:pStyle w:val="Compact"/>
              <w:jc w:val="left"/>
            </w:pPr>
            <w:r>
              <w:t xml:space="preserve">5.00</w:t>
            </w:r>
          </w:p>
        </w:tc>
        <w:tc>
          <w:tcPr/>
          <w:p>
            <w:pPr>
              <w:pStyle w:val="Compact"/>
              <w:jc w:val="left"/>
            </w:pPr>
            <w:r>
              <w:t xml:space="preserve">0.05</w:t>
            </w:r>
          </w:p>
        </w:tc>
      </w:tr>
      <w:tr>
        <w:tc>
          <w:tcPr/>
          <w:p>
            <w:pPr>
              <w:pStyle w:val="Compact"/>
              <w:jc w:val="left"/>
            </w:pPr>
            <w:r>
              <w:t xml:space="preserve">M004</w:t>
            </w:r>
          </w:p>
        </w:tc>
        <w:tc>
          <w:tcPr/>
          <w:p>
            <w:pPr>
              <w:pStyle w:val="Compact"/>
              <w:jc w:val="left"/>
            </w:pPr>
            <w:r>
              <w:t xml:space="preserve">Cardboard Packaging</w:t>
            </w:r>
          </w:p>
        </w:tc>
        <w:tc>
          <w:tcPr/>
          <w:p>
            <w:pPr>
              <w:pStyle w:val="Compact"/>
              <w:jc w:val="left"/>
            </w:pPr>
            <w:r>
              <w:t xml:space="preserve">Paper/Board</w:t>
            </w:r>
          </w:p>
        </w:tc>
        <w:tc>
          <w:tcPr/>
          <w:p>
            <w:pPr>
              <w:pStyle w:val="Compact"/>
              <w:jc w:val="left"/>
            </w:pPr>
            <w:r>
              <w:t xml:space="preserve">Converting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1.20</w:t>
            </w:r>
          </w:p>
        </w:tc>
        <w:tc>
          <w:tcPr/>
          <w:p>
            <w:pPr>
              <w:pStyle w:val="Compact"/>
              <w:jc w:val="left"/>
            </w:pPr>
            <w:r>
              <w:t xml:space="preserve">0.06</w:t>
            </w:r>
          </w:p>
        </w:tc>
      </w:tr>
      <w:tr>
        <w:tc>
          <w:tcPr>
            <w:gridSpan w:val="7"/>
          </w:tcPr>
          <w:p>
            <w:pPr>
              <w:pStyle w:val="Compact"/>
              <w:jc w:val="right"/>
            </w:pPr>
            <w:r>
              <w:t xml:space="preserve">Subtotal Material Carbon:</w:t>
            </w:r>
          </w:p>
        </w:tc>
        <w:tc>
          <w:tcPr/>
          <w:p>
            <w:pPr>
              <w:pStyle w:val="Compact"/>
              <w:jc w:val="left"/>
            </w:pPr>
            <w:r>
              <w:t xml:space="preserve">3.11</w:t>
            </w:r>
          </w:p>
        </w:tc>
      </w:tr>
    </w:tbl>
    <w:bookmarkEnd w:id="31"/>
    <w:bookmarkStart w:id="32" w:name="logistics-data"/>
    <w:p>
      <w:pPr>
        <w:pStyle w:val="Heading3"/>
      </w:pPr>
      <w:r>
        <w:t xml:space="preserve">3.2 Logistics Data</w:t>
      </w:r>
    </w:p>
    <w:p>
      <w:pPr>
        <w:numPr>
          <w:ilvl w:val="0"/>
          <w:numId w:val="1005"/>
        </w:numPr>
        <w:pStyle w:val="Compact"/>
      </w:pPr>
      <w:r>
        <w:rPr>
          <w:bCs/>
          <w:b/>
        </w:rPr>
        <w:t xml:space="preserve">Transport Mode:</w:t>
      </w:r>
      <w:r>
        <w:t xml:space="preserve"> </w:t>
      </w:r>
      <w:r>
        <w:t xml:space="preserve">Select Mode (assumed as a combination of Sea Freight from China to Europe, followed by Road Freight for regional distribution).</w:t>
      </w:r>
    </w:p>
    <w:p>
      <w:pPr>
        <w:numPr>
          <w:ilvl w:val="0"/>
          <w:numId w:val="1005"/>
        </w:numPr>
        <w:pStyle w:val="Compact"/>
      </w:pPr>
      <w:r>
        <w:rPr>
          <w:bCs/>
          <w:b/>
        </w:rPr>
        <w:t xml:space="preserve">Transport Distance:</w:t>
      </w:r>
      <w:r>
        <w:t xml:space="preserve"> </w:t>
      </w:r>
      <w:r>
        <w:t xml:space="preserve">wkjjqfgqyd (assumed as 15,000 km for sea freight + 500 km for road freight).</w:t>
      </w:r>
    </w:p>
    <w:p>
      <w:pPr>
        <w:numPr>
          <w:ilvl w:val="0"/>
          <w:numId w:val="1005"/>
        </w:numPr>
        <w:pStyle w:val="Compact"/>
      </w:pPr>
      <w:r>
        <w:rPr>
          <w:bCs/>
          <w:b/>
        </w:rPr>
        <w:t xml:space="preserve">Last-Mile Delivery Channel:</w:t>
      </w:r>
      <w:r>
        <w:t xml:space="preserve"> </w:t>
      </w:r>
      <w:r>
        <w:t xml:space="preserve">Delivery Type (assumed as standard parcel road delivery for an additional 50 km).</w:t>
      </w:r>
    </w:p>
    <w:p>
      <w:pPr>
        <w:numPr>
          <w:ilvl w:val="0"/>
          <w:numId w:val="1005"/>
        </w:numPr>
        <w:pStyle w:val="Compact"/>
      </w:pPr>
      <w:r>
        <w:rPr>
          <w:bCs/>
          <w:b/>
        </w:rPr>
        <w:t xml:space="preserve">Illustrative Product Weight for Transport:</w:t>
      </w:r>
      <w:r>
        <w:t xml:space="preserve"> </w:t>
      </w:r>
      <w:r>
        <w:t xml:space="preserve">0.5 kg (product + primary packaging).</w:t>
      </w:r>
    </w:p>
    <w:bookmarkEnd w:id="32"/>
    <w:bookmarkStart w:id="33" w:name="production-energy-data"/>
    <w:p>
      <w:pPr>
        <w:pStyle w:val="Heading3"/>
      </w:pPr>
      <w:r>
        <w:t xml:space="preserve">3.3 Production Energy Data</w:t>
      </w:r>
    </w:p>
    <w:p>
      <w:pPr>
        <w:numPr>
          <w:ilvl w:val="0"/>
          <w:numId w:val="1006"/>
        </w:numPr>
        <w:pStyle w:val="Compact"/>
      </w:pPr>
      <w:r>
        <w:rPr>
          <w:bCs/>
          <w:b/>
        </w:rPr>
        <w:t xml:space="preserve">Renewable Energy Usage:</w:t>
      </w:r>
      <w:r>
        <w:t xml:space="preserve"> </w:t>
      </w:r>
      <w:r>
        <w:t xml:space="preserve">jsxsqernkz (assumed as 50% renewable energy sourced by zydfuhnoyx at its China facility).</w:t>
      </w:r>
    </w:p>
    <w:p>
      <w:pPr>
        <w:numPr>
          <w:ilvl w:val="0"/>
          <w:numId w:val="1006"/>
        </w:numPr>
        <w:pStyle w:val="Compact"/>
      </w:pPr>
      <w:r>
        <w:rPr>
          <w:bCs/>
          <w:b/>
        </w:rPr>
        <w:t xml:space="preserve">Energy Intensity (kWh/unit):</w:t>
      </w:r>
      <w:r>
        <w:t xml:space="preserve"> </w:t>
      </w:r>
      <w:r>
        <w:t xml:space="preserve">ytxekhswks (assumed as 0.5 kWh per unit of jvvykjfqvf).</w:t>
      </w:r>
    </w:p>
    <w:p>
      <w:pPr>
        <w:numPr>
          <w:ilvl w:val="0"/>
          <w:numId w:val="1006"/>
        </w:numPr>
        <w:pStyle w:val="Compact"/>
      </w:pPr>
      <w:r>
        <w:rPr>
          <w:bCs/>
          <w:b/>
        </w:rPr>
        <w:t xml:space="preserve">Illustrative China Grid Emission Factor (2026 est.):</w:t>
      </w:r>
      <w:r>
        <w:t xml:space="preserve"> </w:t>
      </w:r>
      <w:r>
        <w:t xml:space="preserve">0.60 kg CO2e/kWh.</w:t>
      </w:r>
    </w:p>
    <w:bookmarkEnd w:id="33"/>
    <w:bookmarkStart w:id="34" w:name="use-phase-data"/>
    <w:p>
      <w:pPr>
        <w:pStyle w:val="Heading3"/>
      </w:pPr>
      <w:r>
        <w:t xml:space="preserve">3.4 Use Phase Data</w:t>
      </w:r>
    </w:p>
    <w:p>
      <w:pPr>
        <w:numPr>
          <w:ilvl w:val="0"/>
          <w:numId w:val="1007"/>
        </w:numPr>
        <w:pStyle w:val="Compact"/>
      </w:pPr>
      <w:r>
        <w:rPr>
          <w:bCs/>
          <w:b/>
        </w:rPr>
        <w:t xml:space="preserve">Product Lifespan:</w:t>
      </w:r>
      <w:r>
        <w:t xml:space="preserve"> </w:t>
      </w:r>
      <w:r>
        <w:t xml:space="preserve">jfovdimtmm (assumed as 3 years).</w:t>
      </w:r>
    </w:p>
    <w:p>
      <w:pPr>
        <w:numPr>
          <w:ilvl w:val="0"/>
          <w:numId w:val="1007"/>
        </w:numPr>
        <w:pStyle w:val="Compact"/>
      </w:pPr>
      <w:r>
        <w:rPr>
          <w:bCs/>
          <w:b/>
        </w:rPr>
        <w:t xml:space="preserve">Energy Consumption in Use:</w:t>
      </w:r>
      <w:r>
        <w:t xml:space="preserve"> </w:t>
      </w:r>
      <w:r>
        <w:t xml:space="preserve">grqzyiijlg (assumed as 10 kWh per year).</w:t>
      </w:r>
    </w:p>
    <w:p>
      <w:pPr>
        <w:numPr>
          <w:ilvl w:val="0"/>
          <w:numId w:val="1007"/>
        </w:numPr>
        <w:pStyle w:val="Compact"/>
      </w:pPr>
      <w:r>
        <w:rPr>
          <w:bCs/>
          <w:b/>
        </w:rPr>
        <w:t xml:space="preserve">Illustrative European Average Grid Emission Factor (2026 est.):</w:t>
      </w:r>
      <w:r>
        <w:t xml:space="preserve"> </w:t>
      </w:r>
      <w:r>
        <w:t xml:space="preserve">0.20 kg CO2e/kWh.</w:t>
      </w:r>
    </w:p>
    <w:bookmarkEnd w:id="34"/>
    <w:bookmarkStart w:id="35" w:name="end-of-life-eol-data"/>
    <w:p>
      <w:pPr>
        <w:pStyle w:val="Heading3"/>
      </w:pPr>
      <w:r>
        <w:t xml:space="preserve">3.5 End-of-Life (EoL) Data</w:t>
      </w:r>
    </w:p>
    <w:p>
      <w:pPr>
        <w:numPr>
          <w:ilvl w:val="0"/>
          <w:numId w:val="1008"/>
        </w:numPr>
        <w:pStyle w:val="Compact"/>
      </w:pPr>
      <w:r>
        <w:rPr>
          <w:bCs/>
          <w:b/>
        </w:rPr>
        <w:t xml:space="preserve">Recyclability Percentage:</w:t>
      </w:r>
      <w:r>
        <w:t xml:space="preserve"> </w:t>
      </w:r>
      <w:r>
        <w:t xml:space="preserve">xjkfoishuj (assumed as 70% of product materials are recyclable).</w:t>
      </w:r>
    </w:p>
    <w:p>
      <w:pPr>
        <w:numPr>
          <w:ilvl w:val="0"/>
          <w:numId w:val="1008"/>
        </w:numPr>
        <w:pStyle w:val="Compact"/>
      </w:pPr>
      <w:r>
        <w:rPr>
          <w:bCs/>
          <w:b/>
        </w:rPr>
        <w:t xml:space="preserve">Circular/Take-back Programs:</w:t>
      </w:r>
      <w:r>
        <w:t xml:space="preserve"> </w:t>
      </w:r>
      <w:r>
        <w:t xml:space="preserve">neiqqyjxqy (company-initiated collection points for electronics).</w:t>
      </w:r>
    </w:p>
    <w:p>
      <w:pPr>
        <w:numPr>
          <w:ilvl w:val="0"/>
          <w:numId w:val="1008"/>
        </w:numPr>
        <w:pStyle w:val="Compact"/>
      </w:pPr>
      <w:r>
        <w:rPr>
          <w:bCs/>
          <w:b/>
        </w:rPr>
        <w:t xml:space="preserve">Illustrative EoL Emission Factor (non-recycled portion):</w:t>
      </w:r>
      <w:r>
        <w:t xml:space="preserve"> </w:t>
      </w:r>
      <w:r>
        <w:t xml:space="preserve">3.0 kg CO2e/kg of product.</w:t>
      </w:r>
    </w:p>
    <w:p>
      <w:pPr>
        <w:numPr>
          <w:ilvl w:val="0"/>
          <w:numId w:val="1008"/>
        </w:numPr>
        <w:pStyle w:val="Compact"/>
      </w:pPr>
      <w:r>
        <w:rPr>
          <w:bCs/>
          <w:b/>
        </w:rPr>
        <w:t xml:space="preserve">Illustrative Product Weight for EoL:</w:t>
      </w:r>
      <w:r>
        <w:t xml:space="preserve"> </w:t>
      </w:r>
      <w:r>
        <w:t xml:space="preserve">0.36 kg (sum of material weights from BOM).</w:t>
      </w:r>
    </w:p>
    <w:p>
      <w:r>
        <w:pict>
          <v:rect style="width:0;height:1.5pt" o:hralign="center" o:hrstd="t" o:hr="t"/>
        </w:pict>
      </w:r>
    </w:p>
    <w:bookmarkEnd w:id="35"/>
    <w:bookmarkEnd w:id="36"/>
    <w:bookmarkStart w:id="45" w:name="emission-calculations"/>
    <w:p>
      <w:pPr>
        <w:pStyle w:val="Heading2"/>
      </w:pPr>
      <w:r>
        <w:t xml:space="preserve">4. Emission Calculations</w:t>
      </w:r>
    </w:p>
    <w:p>
      <w:pPr>
        <w:pStyle w:val="FirstParagraph"/>
      </w:pPr>
      <w:r>
        <w:t xml:space="preserve">Emissions have been calculated by multiplying activity data by appropriate emission factors.</w:t>
      </w:r>
      <w:r>
        <w:t xml:space="preserve"> </w:t>
      </w:r>
      <w:r>
        <w:t xml:space="preserve">Industry-standard emission factors, consistent with databases like Ecoinvent and DEFRA, have been applied.</w:t>
      </w:r>
    </w:p>
    <w:bookmarkStart w:id="38" w:name="upstream-emissions-scope-3"/>
    <w:p>
      <w:pPr>
        <w:pStyle w:val="Heading3"/>
      </w:pPr>
      <w:r>
        <w:t xml:space="preserve">4.1 Upstream Emissions (Scope 3)</w:t>
      </w:r>
    </w:p>
    <w:bookmarkStart w:id="37" w:name="material-acquisition-and-production"/>
    <w:p>
      <w:pPr>
        <w:pStyle w:val="Heading4"/>
      </w:pPr>
      <w:r>
        <w:t xml:space="preserve">4.1.1 Material Acquisition and Production</w:t>
      </w:r>
    </w:p>
    <w:p>
      <w:pPr>
        <w:pStyle w:val="FirstParagraph"/>
      </w:pPr>
      <w:r>
        <w:t xml:space="preserve">Based on the detailed BOM ("gwmgvxli") and the provided \'Total Carbon\' values, the emissions from material acquisition</w:t>
      </w:r>
      <w:r>
        <w:t xml:space="preserve"> </w:t>
      </w:r>
      <w:r>
        <w:t xml:space="preserve">and component production are directly summed.</w:t>
      </w:r>
    </w:p>
    <w:p>
      <w:pPr>
        <w:numPr>
          <w:ilvl w:val="0"/>
          <w:numId w:val="1009"/>
        </w:numPr>
        <w:pStyle w:val="Compact"/>
      </w:pPr>
      <w:r>
        <w:rPr>
          <w:bCs/>
          <w:b/>
        </w:rPr>
        <w:t xml:space="preserve">Total Material Carbon:</w:t>
      </w:r>
      <w:r>
        <w:t xml:space="preserve"> </w:t>
      </w:r>
      <w:r>
        <w:t xml:space="preserve">3.11 kg CO2e</w:t>
      </w:r>
    </w:p>
    <w:bookmarkEnd w:id="37"/>
    <w:bookmarkEnd w:id="38"/>
    <w:bookmarkStart w:id="39" w:name="core-production-emissions-scope-1-2"/>
    <w:p>
      <w:pPr>
        <w:pStyle w:val="Heading3"/>
      </w:pPr>
      <w:r>
        <w:t xml:space="preserve">4.2 Core Production Emissions (Scope 1 &amp; 2)</w:t>
      </w:r>
    </w:p>
    <w:p>
      <w:pPr>
        <w:pStyle w:val="FirstParagraph"/>
      </w:pPr>
      <w:r>
        <w:t xml:space="preserve">The production phase emissions are primarily driven by energy consumption at the zydfuhnoyx manufacturing facility in China.</w:t>
      </w:r>
    </w:p>
    <w:p>
      <w:pPr>
        <w:numPr>
          <w:ilvl w:val="0"/>
          <w:numId w:val="1010"/>
        </w:numPr>
        <w:pStyle w:val="Compact"/>
      </w:pPr>
      <w:r>
        <w:rPr>
          <w:bCs/>
          <w:b/>
        </w:rPr>
        <w:t xml:space="preserve">Energy Intensity:</w:t>
      </w:r>
      <w:r>
        <w:t xml:space="preserve"> </w:t>
      </w:r>
      <w:r>
        <w:t xml:space="preserve">0.5 kWh/unit</w:t>
      </w:r>
    </w:p>
    <w:p>
      <w:pPr>
        <w:numPr>
          <w:ilvl w:val="0"/>
          <w:numId w:val="1010"/>
        </w:numPr>
        <w:pStyle w:val="Compact"/>
      </w:pPr>
      <w:r>
        <w:rPr>
          <w:bCs/>
          <w:b/>
        </w:rPr>
        <w:t xml:space="preserve">Renewable Energy Usage:</w:t>
      </w:r>
      <w:r>
        <w:t xml:space="preserve"> </w:t>
      </w:r>
      <w:r>
        <w:t xml:space="preserve">50%</w:t>
      </w:r>
    </w:p>
    <w:p>
      <w:pPr>
        <w:numPr>
          <w:ilvl w:val="0"/>
          <w:numId w:val="1010"/>
        </w:numPr>
        <w:pStyle w:val="Compact"/>
      </w:pPr>
      <w:r>
        <w:rPr>
          <w:bCs/>
          <w:b/>
        </w:rPr>
        <w:t xml:space="preserve">China Grid Emission Factor:</w:t>
      </w:r>
      <w:r>
        <w:t xml:space="preserve"> </w:t>
      </w:r>
      <w:r>
        <w:t xml:space="preserve">0.60 kg CO2e/kWh (illustrative)</w:t>
      </w:r>
    </w:p>
    <w:p>
      <w:pPr>
        <w:numPr>
          <w:ilvl w:val="0"/>
          <w:numId w:val="1010"/>
        </w:numPr>
        <w:pStyle w:val="Compact"/>
      </w:pPr>
      <w:r>
        <w:rPr>
          <w:bCs/>
          <w:b/>
        </w:rPr>
        <w:t xml:space="preserve">Effective Emission Factor (considering renewables):</w:t>
      </w:r>
      <w:r>
        <w:t xml:space="preserve"> </w:t>
      </w:r>
      <w:r>
        <w:t xml:space="preserve">0.60 kg CO2e/kWh * (1 - 0.50) = 0.30 kg CO2e/kWh</w:t>
      </w:r>
    </w:p>
    <w:p>
      <w:pPr>
        <w:numPr>
          <w:ilvl w:val="0"/>
          <w:numId w:val="1010"/>
        </w:numPr>
        <w:pStyle w:val="Compact"/>
      </w:pPr>
      <w:r>
        <w:rPr>
          <w:bCs/>
          <w:b/>
        </w:rPr>
        <w:t xml:space="preserve">Production Energy Carbon:</w:t>
      </w:r>
      <w:r>
        <w:t xml:space="preserve"> </w:t>
      </w:r>
      <w:r>
        <w:t xml:space="preserve">0.5 kWh/unit * 0.30 kg CO2e/kWh =</w:t>
      </w:r>
      <w:r>
        <w:t xml:space="preserve"> </w:t>
      </w:r>
      <w:r>
        <w:rPr>
          <w:bCs/>
          <w:b/>
        </w:rPr>
        <w:t xml:space="preserve">0.15 kg CO2e</w:t>
      </w:r>
    </w:p>
    <w:p>
      <w:pPr>
        <w:numPr>
          <w:ilvl w:val="0"/>
          <w:numId w:val="1010"/>
        </w:numPr>
        <w:pStyle w:val="Compact"/>
      </w:pPr>
      <w:r>
        <w:rPr>
          <w:bCs/>
          <w:b/>
        </w:rPr>
        <w:t xml:space="preserve">Scope 1 Emissions:</w:t>
      </w:r>
      <w:r>
        <w:t xml:space="preserve"> </w:t>
      </w:r>
      <w:r>
        <w:t xml:space="preserve">Assumed negligible or included within material EFs for this analysis.</w:t>
      </w:r>
    </w:p>
    <w:p>
      <w:pPr>
        <w:numPr>
          <w:ilvl w:val="0"/>
          <w:numId w:val="1010"/>
        </w:numPr>
        <w:pStyle w:val="Compact"/>
      </w:pPr>
      <w:r>
        <w:rPr>
          <w:bCs/>
          <w:b/>
        </w:rPr>
        <w:t xml:space="preserve">Scope 2 Emissions:</w:t>
      </w:r>
      <w:r>
        <w:t xml:space="preserve"> </w:t>
      </w:r>
      <w:r>
        <w:t xml:space="preserve">0.15 kg CO2e (from purchased electricity)</w:t>
      </w:r>
    </w:p>
    <w:bookmarkEnd w:id="39"/>
    <w:bookmarkStart w:id="43" w:name="downstream-emissions-scope-3"/>
    <w:p>
      <w:pPr>
        <w:pStyle w:val="Heading3"/>
      </w:pPr>
      <w:r>
        <w:t xml:space="preserve">4.3 Downstream Emissions (Scope 3)</w:t>
      </w:r>
    </w:p>
    <w:bookmarkStart w:id="40" w:name="transportation-factory-to-customer"/>
    <w:p>
      <w:pPr>
        <w:pStyle w:val="Heading4"/>
      </w:pPr>
      <w:r>
        <w:t xml:space="preserve">4.3.1 Transportation (Factory to Customer)</w:t>
      </w:r>
    </w:p>
    <w:p>
      <w:pPr>
        <w:pStyle w:val="FirstParagraph"/>
      </w:pPr>
      <w:r>
        <w:t xml:space="preserve">This includes shipping from the production facility in China to distribution points in Europe and final delivery.</w:t>
      </w:r>
    </w:p>
    <w:p>
      <w:pPr>
        <w:numPr>
          <w:ilvl w:val="0"/>
          <w:numId w:val="1011"/>
        </w:numPr>
        <w:pStyle w:val="Compact"/>
      </w:pPr>
      <w:r>
        <w:rPr>
          <w:bCs/>
          <w:b/>
        </w:rPr>
        <w:t xml:space="preserve">Product Weight:</w:t>
      </w:r>
      <w:r>
        <w:t xml:space="preserve"> </w:t>
      </w:r>
      <w:r>
        <w:t xml:space="preserve">0.5 kg (illustrative)</w:t>
      </w:r>
    </w:p>
    <w:p>
      <w:pPr>
        <w:numPr>
          <w:ilvl w:val="0"/>
          <w:numId w:val="1011"/>
        </w:numPr>
        <w:pStyle w:val="Compact"/>
      </w:pPr>
      <w:r>
        <w:rPr>
          <w:bCs/>
          <w:b/>
        </w:rPr>
        <w:t xml:space="preserve">Sea Freight (China to Europe):</w:t>
      </w:r>
      <w:r>
        <w:t xml:space="preserve"> </w:t>
      </w:r>
      <w:r>
        <w:t xml:space="preserve">15,000 km</w:t>
      </w:r>
    </w:p>
    <w:p>
      <w:pPr>
        <w:numPr>
          <w:ilvl w:val="0"/>
          <w:numId w:val="1011"/>
        </w:numPr>
        <w:pStyle w:val="Compact"/>
      </w:pPr>
      <w:r>
        <w:rPr>
          <w:bCs/>
          <w:b/>
        </w:rPr>
        <w:t xml:space="preserve">Sea Freight Emission Factor (Illustrative):</w:t>
      </w:r>
      <w:r>
        <w:t xml:space="preserve"> </w:t>
      </w:r>
      <w:r>
        <w:t xml:space="preserve">0.00001 kg CO2e/kg-km</w:t>
      </w:r>
    </w:p>
    <w:p>
      <w:pPr>
        <w:numPr>
          <w:ilvl w:val="0"/>
          <w:numId w:val="1011"/>
        </w:numPr>
        <w:pStyle w:val="Compact"/>
      </w:pPr>
      <w:r>
        <w:rPr>
          <w:bCs/>
          <w:b/>
        </w:rPr>
        <w:t xml:space="preserve">Emissions (Sea Freight):</w:t>
      </w:r>
      <w:r>
        <w:t xml:space="preserve"> </w:t>
      </w:r>
      <w:r>
        <w:t xml:space="preserve">0.5 kg * 15,000 km * 0.00001 kg CO2e/kg-km = 0.075 kg CO2e</w:t>
      </w:r>
    </w:p>
    <w:p>
      <w:pPr>
        <w:numPr>
          <w:ilvl w:val="0"/>
          <w:numId w:val="1011"/>
        </w:numPr>
        <w:pStyle w:val="Compact"/>
      </w:pPr>
      <w:r>
        <w:rPr>
          <w:bCs/>
          <w:b/>
        </w:rPr>
        <w:t xml:space="preserve">Road Freight (Regional Distribution):</w:t>
      </w:r>
      <w:r>
        <w:t xml:space="preserve"> </w:t>
      </w:r>
      <w:r>
        <w:t xml:space="preserve">500 km</w:t>
      </w:r>
    </w:p>
    <w:p>
      <w:pPr>
        <w:numPr>
          <w:ilvl w:val="0"/>
          <w:numId w:val="1011"/>
        </w:numPr>
        <w:pStyle w:val="Compact"/>
      </w:pPr>
      <w:r>
        <w:rPr>
          <w:bCs/>
          <w:b/>
        </w:rPr>
        <w:t xml:space="preserve">Road Freight Emission Factor (Illustrative):</w:t>
      </w:r>
      <w:r>
        <w:t xml:space="preserve"> </w:t>
      </w:r>
      <w:r>
        <w:t xml:space="preserve">0.00009 kg CO2e/kg-km</w:t>
      </w:r>
    </w:p>
    <w:p>
      <w:pPr>
        <w:numPr>
          <w:ilvl w:val="0"/>
          <w:numId w:val="1011"/>
        </w:numPr>
        <w:pStyle w:val="Compact"/>
      </w:pPr>
      <w:r>
        <w:rPr>
          <w:bCs/>
          <w:b/>
        </w:rPr>
        <w:t xml:space="preserve">Emissions (Road Freight):</w:t>
      </w:r>
      <w:r>
        <w:t xml:space="preserve"> </w:t>
      </w:r>
      <w:r>
        <w:t xml:space="preserve">0.5 kg * 500 km * 0.00009 kg CO2e/kg-km = 0.0225 kg CO2e</w:t>
      </w:r>
    </w:p>
    <w:p>
      <w:pPr>
        <w:numPr>
          <w:ilvl w:val="0"/>
          <w:numId w:val="1011"/>
        </w:numPr>
        <w:pStyle w:val="Compact"/>
      </w:pPr>
      <w:r>
        <w:rPr>
          <w:bCs/>
          <w:b/>
        </w:rPr>
        <w:t xml:space="preserve">Last-Mile Delivery (Road):</w:t>
      </w:r>
      <w:r>
        <w:t xml:space="preserve"> </w:t>
      </w:r>
      <w:r>
        <w:t xml:space="preserve">50 km</w:t>
      </w:r>
    </w:p>
    <w:p>
      <w:pPr>
        <w:numPr>
          <w:ilvl w:val="0"/>
          <w:numId w:val="1011"/>
        </w:numPr>
        <w:pStyle w:val="Compact"/>
      </w:pPr>
      <w:r>
        <w:rPr>
          <w:bCs/>
          <w:b/>
        </w:rPr>
        <w:t xml:space="preserve">Emissions (Last-Mile):</w:t>
      </w:r>
      <w:r>
        <w:t xml:space="preserve"> </w:t>
      </w:r>
      <w:r>
        <w:t xml:space="preserve">0.5 kg * 50 km * 0.00009 kg CO2e/kg-km = 0.00225 kg CO2e</w:t>
      </w:r>
    </w:p>
    <w:p>
      <w:pPr>
        <w:numPr>
          <w:ilvl w:val="0"/>
          <w:numId w:val="1011"/>
        </w:numPr>
        <w:pStyle w:val="Compact"/>
      </w:pPr>
      <w:r>
        <w:rPr>
          <w:bCs/>
          <w:b/>
        </w:rPr>
        <w:t xml:space="preserve">Total Downstream Transport Carbon:</w:t>
      </w:r>
      <w:r>
        <w:t xml:space="preserve"> </w:t>
      </w:r>
      <w:r>
        <w:t xml:space="preserve">0.075 + 0.0225 + 0.00225 =</w:t>
      </w:r>
      <w:r>
        <w:t xml:space="preserve"> </w:t>
      </w:r>
      <w:r>
        <w:rPr>
          <w:bCs/>
          <w:b/>
        </w:rPr>
        <w:t xml:space="preserve">0.09975 kg CO2e</w:t>
      </w:r>
    </w:p>
    <w:bookmarkEnd w:id="40"/>
    <w:bookmarkStart w:id="41" w:name="use-phase-emissions"/>
    <w:p>
      <w:pPr>
        <w:pStyle w:val="Heading4"/>
      </w:pPr>
      <w:r>
        <w:t xml:space="preserve">4.3.2 Use Phase Emissions</w:t>
      </w:r>
    </w:p>
    <w:p>
      <w:pPr>
        <w:pStyle w:val="FirstParagraph"/>
      </w:pPr>
      <w:r>
        <w:t xml:space="preserve">The energy consumed during the product\'s operational lifespan by the end-user.</w:t>
      </w:r>
    </w:p>
    <w:p>
      <w:pPr>
        <w:numPr>
          <w:ilvl w:val="0"/>
          <w:numId w:val="1012"/>
        </w:numPr>
        <w:pStyle w:val="Compact"/>
      </w:pPr>
      <w:r>
        <w:rPr>
          <w:bCs/>
          <w:b/>
        </w:rPr>
        <w:t xml:space="preserve">Product Lifespan:</w:t>
      </w:r>
      <w:r>
        <w:t xml:space="preserve"> </w:t>
      </w:r>
      <w:r>
        <w:t xml:space="preserve">3 years</w:t>
      </w:r>
    </w:p>
    <w:p>
      <w:pPr>
        <w:numPr>
          <w:ilvl w:val="0"/>
          <w:numId w:val="1012"/>
        </w:numPr>
        <w:pStyle w:val="Compact"/>
      </w:pPr>
      <w:r>
        <w:rPr>
          <w:bCs/>
          <w:b/>
        </w:rPr>
        <w:t xml:space="preserve">Energy Consumption in Use:</w:t>
      </w:r>
      <w:r>
        <w:t xml:space="preserve"> </w:t>
      </w:r>
      <w:r>
        <w:t xml:space="preserve">10 kWh/year</w:t>
      </w:r>
    </w:p>
    <w:p>
      <w:pPr>
        <w:numPr>
          <w:ilvl w:val="0"/>
          <w:numId w:val="1012"/>
        </w:numPr>
        <w:pStyle w:val="Compact"/>
      </w:pPr>
      <w:r>
        <w:rPr>
          <w:bCs/>
          <w:b/>
        </w:rPr>
        <w:t xml:space="preserve">European Average Grid Emission Factor (Illustrative):</w:t>
      </w:r>
      <w:r>
        <w:t xml:space="preserve"> </w:t>
      </w:r>
      <w:r>
        <w:t xml:space="preserve">0.20 kg CO2e/kWh</w:t>
      </w:r>
    </w:p>
    <w:p>
      <w:pPr>
        <w:numPr>
          <w:ilvl w:val="0"/>
          <w:numId w:val="1012"/>
        </w:numPr>
        <w:pStyle w:val="Compact"/>
      </w:pPr>
      <w:r>
        <w:rPr>
          <w:bCs/>
          <w:b/>
        </w:rPr>
        <w:t xml:space="preserve">Use Phase Carbon:</w:t>
      </w:r>
      <w:r>
        <w:t xml:space="preserve"> </w:t>
      </w:r>
      <w:r>
        <w:t xml:space="preserve">10 kWh/year * 3 years * 0.20 kg CO2e/kWh =</w:t>
      </w:r>
      <w:r>
        <w:t xml:space="preserve"> </w:t>
      </w:r>
      <w:r>
        <w:rPr>
          <w:bCs/>
          <w:b/>
        </w:rPr>
        <w:t xml:space="preserve">6.00 kg CO2e</w:t>
      </w:r>
    </w:p>
    <w:bookmarkEnd w:id="41"/>
    <w:bookmarkStart w:id="42" w:name="end-of-life-eol-emissions-and-benefits"/>
    <w:p>
      <w:pPr>
        <w:pStyle w:val="Heading4"/>
      </w:pPr>
      <w:r>
        <w:t xml:space="preserve">4.3.3 End-of-Life (EoL) Emissions and Benefits</w:t>
      </w:r>
    </w:p>
    <w:p>
      <w:pPr>
        <w:pStyle w:val="FirstParagraph"/>
      </w:pPr>
      <w:r>
        <w:t xml:space="preserve">The emissions associated with the disposal or recycling of the product. The provided recyclability percentage and circular programs reduce the net impact.</w:t>
      </w:r>
    </w:p>
    <w:p>
      <w:pPr>
        <w:numPr>
          <w:ilvl w:val="0"/>
          <w:numId w:val="1013"/>
        </w:numPr>
        <w:pStyle w:val="Compact"/>
      </w:pPr>
      <w:r>
        <w:rPr>
          <w:bCs/>
          <w:b/>
        </w:rPr>
        <w:t xml:space="preserve">Product Material Weight:</w:t>
      </w:r>
      <w:r>
        <w:t xml:space="preserve"> </w:t>
      </w:r>
      <w:r>
        <w:t xml:space="preserve">0.36 kg (from BOM)</w:t>
      </w:r>
    </w:p>
    <w:p>
      <w:pPr>
        <w:numPr>
          <w:ilvl w:val="0"/>
          <w:numId w:val="1013"/>
        </w:numPr>
        <w:pStyle w:val="Compact"/>
      </w:pPr>
      <w:r>
        <w:rPr>
          <w:bCs/>
          <w:b/>
        </w:rPr>
        <w:t xml:space="preserve">Recyclability Percentage:</w:t>
      </w:r>
      <w:r>
        <w:t xml:space="preserve"> </w:t>
      </w:r>
      <w:r>
        <w:t xml:space="preserve">70%</w:t>
      </w:r>
    </w:p>
    <w:p>
      <w:pPr>
        <w:numPr>
          <w:ilvl w:val="0"/>
          <w:numId w:val="1013"/>
        </w:numPr>
        <w:pStyle w:val="Compact"/>
      </w:pPr>
      <w:r>
        <w:rPr>
          <w:bCs/>
          <w:b/>
        </w:rPr>
        <w:t xml:space="preserve">Non-recycled Portion:</w:t>
      </w:r>
      <w:r>
        <w:t xml:space="preserve"> </w:t>
      </w:r>
      <w:r>
        <w:t xml:space="preserve">0.36 kg * (1 - 0.70) = 0.108 kg</w:t>
      </w:r>
    </w:p>
    <w:p>
      <w:pPr>
        <w:numPr>
          <w:ilvl w:val="0"/>
          <w:numId w:val="1013"/>
        </w:numPr>
        <w:pStyle w:val="Compact"/>
      </w:pPr>
      <w:r>
        <w:rPr>
          <w:bCs/>
          <w:b/>
        </w:rPr>
        <w:t xml:space="preserve">Illustrative EoL Emission Factor (non-recycled):</w:t>
      </w:r>
      <w:r>
        <w:t xml:space="preserve"> </w:t>
      </w:r>
      <w:r>
        <w:t xml:space="preserve">3.0 kg CO2e/kg</w:t>
      </w:r>
    </w:p>
    <w:p>
      <w:pPr>
        <w:numPr>
          <w:ilvl w:val="0"/>
          <w:numId w:val="1013"/>
        </w:numPr>
        <w:pStyle w:val="Compact"/>
      </w:pPr>
      <w:r>
        <w:rPr>
          <w:bCs/>
          <w:b/>
        </w:rPr>
        <w:t xml:space="preserve">Gross EoL Carbon (non-recycled):</w:t>
      </w:r>
      <w:r>
        <w:t xml:space="preserve"> </w:t>
      </w:r>
      <w:r>
        <w:t xml:space="preserve">0.108 kg * 3.0 kg CO2e/kg = 0.324 kg CO2e</w:t>
      </w:r>
    </w:p>
    <w:p>
      <w:pPr>
        <w:numPr>
          <w:ilvl w:val="0"/>
          <w:numId w:val="1013"/>
        </w:numPr>
        <w:pStyle w:val="Compact"/>
      </w:pPr>
      <w:r>
        <w:rPr>
          <w:bCs/>
          <w:b/>
        </w:rPr>
        <w:t xml:space="preserve">Circular Programs ("neiqqyjxqy"):</w:t>
      </w:r>
      <w:r>
        <w:t xml:space="preserve"> </w:t>
      </w:r>
      <w:r>
        <w:t xml:space="preserve">Company-initiated collection points for electronics contribute to higher recycling rates and potentially material circularity, leading to avoided virgin material production. While difficult to quantify precisely without specific data, these programs are acknowledged to reduce overall EoL impact beyond the direct recyclability percentage. For this calculation, the 70% recyclability is the primary direct reduction factor.</w:t>
      </w:r>
    </w:p>
    <w:p>
      <w:pPr>
        <w:numPr>
          <w:ilvl w:val="0"/>
          <w:numId w:val="1013"/>
        </w:numPr>
        <w:pStyle w:val="Compact"/>
      </w:pPr>
      <w:r>
        <w:rPr>
          <w:bCs/>
          <w:b/>
        </w:rPr>
        <w:t xml:space="preserve">Net End-of-Life Carbon:</w:t>
      </w:r>
      <w:r>
        <w:t xml:space="preserve"> </w:t>
      </w:r>
      <w:r>
        <w:rPr>
          <w:bCs/>
          <w:b/>
        </w:rPr>
        <w:t xml:space="preserve">0.324 kg CO2e</w:t>
      </w:r>
    </w:p>
    <w:bookmarkEnd w:id="42"/>
    <w:bookmarkEnd w:id="43"/>
    <w:bookmarkStart w:id="44" w:name="total-product-carbon-footprint"/>
    <w:p>
      <w:pPr>
        <w:pStyle w:val="Heading3"/>
      </w:pPr>
      <w:r>
        <w:t xml:space="preserve">4.4 Total Product Carbon Footprint</w:t>
      </w:r>
    </w:p>
    <w:p>
      <w:pPr>
        <w:pStyle w:val="FirstParagraph"/>
      </w:pPr>
      <w:r>
        <w:t xml:space="preserve">The aggregated emissions across all lifecycle stages for one functional unit of jvvykjfqvf are as follows:</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 CO2e)</w:t>
            </w:r>
          </w:p>
        </w:tc>
        <w:tc>
          <w:tcPr/>
          <w:p>
            <w:pPr>
              <w:pStyle w:val="Compact"/>
              <w:jc w:val="left"/>
            </w:pPr>
            <w:r>
              <w:t xml:space="preserve">Percentage of Total</w:t>
            </w:r>
          </w:p>
        </w:tc>
      </w:tr>
      <w:tr>
        <w:tc>
          <w:tcPr/>
          <w:p>
            <w:pPr>
              <w:pStyle w:val="Compact"/>
              <w:jc w:val="left"/>
            </w:pPr>
            <w:r>
              <w:t xml:space="preserve">Material Acquisition &amp; Production</w:t>
            </w:r>
          </w:p>
        </w:tc>
        <w:tc>
          <w:tcPr/>
          <w:p>
            <w:pPr>
              <w:pStyle w:val="Compact"/>
              <w:jc w:val="left"/>
            </w:pPr>
            <w:r>
              <w:t xml:space="preserve">Scope 3 (Upstream)</w:t>
            </w:r>
          </w:p>
        </w:tc>
        <w:tc>
          <w:tcPr/>
          <w:p>
            <w:pPr>
              <w:pStyle w:val="Compact"/>
              <w:jc w:val="left"/>
            </w:pPr>
            <w:r>
              <w:t xml:space="preserve">3.11</w:t>
            </w:r>
          </w:p>
        </w:tc>
        <w:tc>
          <w:tcPr/>
          <w:p>
            <w:pPr>
              <w:pStyle w:val="Compact"/>
              <w:jc w:val="left"/>
            </w:pPr>
            <w:r>
              <w:t xml:space="preserve">32.12%</w:t>
            </w:r>
          </w:p>
        </w:tc>
      </w:tr>
      <w:tr>
        <w:tc>
          <w:tcPr/>
          <w:p>
            <w:pPr>
              <w:pStyle w:val="Compact"/>
              <w:jc w:val="left"/>
            </w:pPr>
            <w:r>
              <w:t xml:space="preserve">Production Energy</w:t>
            </w:r>
          </w:p>
        </w:tc>
        <w:tc>
          <w:tcPr/>
          <w:p>
            <w:pPr>
              <w:pStyle w:val="Compact"/>
              <w:jc w:val="left"/>
            </w:pPr>
            <w:r>
              <w:t xml:space="preserve">Scope 2</w:t>
            </w:r>
          </w:p>
        </w:tc>
        <w:tc>
          <w:tcPr/>
          <w:p>
            <w:pPr>
              <w:pStyle w:val="Compact"/>
              <w:jc w:val="left"/>
            </w:pPr>
            <w:r>
              <w:t xml:space="preserve">0.15</w:t>
            </w:r>
          </w:p>
        </w:tc>
        <w:tc>
          <w:tcPr/>
          <w:p>
            <w:pPr>
              <w:pStyle w:val="Compact"/>
              <w:jc w:val="left"/>
            </w:pPr>
            <w:r>
              <w:t xml:space="preserve">1.55%</w:t>
            </w:r>
          </w:p>
        </w:tc>
      </w:tr>
      <w:tr>
        <w:tc>
          <w:tcPr/>
          <w:p>
            <w:pPr>
              <w:pStyle w:val="Compact"/>
              <w:jc w:val="left"/>
            </w:pPr>
            <w:r>
              <w:t xml:space="preserve">Downstream Transportation</w:t>
            </w:r>
          </w:p>
        </w:tc>
        <w:tc>
          <w:tcPr/>
          <w:p>
            <w:pPr>
              <w:pStyle w:val="Compact"/>
              <w:jc w:val="left"/>
            </w:pPr>
            <w:r>
              <w:t xml:space="preserve">Scope 3 (Downstream)</w:t>
            </w:r>
          </w:p>
        </w:tc>
        <w:tc>
          <w:tcPr/>
          <w:p>
            <w:pPr>
              <w:pStyle w:val="Compact"/>
              <w:jc w:val="left"/>
            </w:pPr>
            <w:r>
              <w:t xml:space="preserve">0.10</w:t>
            </w:r>
          </w:p>
        </w:tc>
        <w:tc>
          <w:tcPr/>
          <w:p>
            <w:pPr>
              <w:pStyle w:val="Compact"/>
              <w:jc w:val="left"/>
            </w:pPr>
            <w:r>
              <w:t xml:space="preserve">1.03%</w:t>
            </w: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6.00</w:t>
            </w:r>
          </w:p>
        </w:tc>
        <w:tc>
          <w:tcPr/>
          <w:p>
            <w:pPr>
              <w:pStyle w:val="Compact"/>
              <w:jc w:val="left"/>
            </w:pPr>
            <w:r>
              <w:t xml:space="preserve">61.96%</w:t>
            </w:r>
          </w:p>
        </w:tc>
      </w:tr>
      <w:tr>
        <w:tc>
          <w:tcPr/>
          <w:p>
            <w:pPr>
              <w:pStyle w:val="Compact"/>
              <w:jc w:val="left"/>
            </w:pPr>
            <w:r>
              <w:t xml:space="preserve">End-of-Life</w:t>
            </w:r>
          </w:p>
        </w:tc>
        <w:tc>
          <w:tcPr/>
          <w:p>
            <w:pPr>
              <w:pStyle w:val="Compact"/>
              <w:jc w:val="left"/>
            </w:pPr>
            <w:r>
              <w:t xml:space="preserve">Scope 3 (Downstream)</w:t>
            </w:r>
          </w:p>
        </w:tc>
        <w:tc>
          <w:tcPr/>
          <w:p>
            <w:pPr>
              <w:pStyle w:val="Compact"/>
              <w:jc w:val="left"/>
            </w:pPr>
            <w:r>
              <w:t xml:space="preserve">0.32</w:t>
            </w:r>
          </w:p>
        </w:tc>
        <w:tc>
          <w:tcPr/>
          <w:p>
            <w:pPr>
              <w:pStyle w:val="Compact"/>
              <w:jc w:val="left"/>
            </w:pPr>
            <w:r>
              <w:t xml:space="preserve">3.31%</w:t>
            </w:r>
          </w:p>
        </w:tc>
      </w:tr>
      <w:tr>
        <w:tc>
          <w:tcPr/>
          <w:p>
            <w:pPr>
              <w:pStyle w:val="Compact"/>
              <w:jc w:val="left"/>
            </w:pPr>
            <w:r>
              <w:t xml:space="preserve">TOTAL PCF (per unit)</w:t>
            </w:r>
          </w:p>
        </w:tc>
        <w:tc>
          <w:tcPr/>
          <w:p>
            <w:pPr>
              <w:pStyle w:val="Compact"/>
            </w:pPr>
          </w:p>
        </w:tc>
        <w:tc>
          <w:tcPr/>
          <w:p>
            <w:pPr>
              <w:pStyle w:val="Compact"/>
              <w:jc w:val="left"/>
            </w:pPr>
            <w:r>
              <w:t xml:space="preserve">9.68</w:t>
            </w:r>
          </w:p>
        </w:tc>
        <w:tc>
          <w:tcPr/>
          <w:p>
            <w:pPr>
              <w:pStyle w:val="Compact"/>
              <w:jc w:val="left"/>
            </w:pPr>
            <w:r>
              <w:t xml:space="preserve">100.00%</w:t>
            </w:r>
          </w:p>
        </w:tc>
      </w:tr>
    </w:tbl>
    <w:p>
      <w:r>
        <w:pict>
          <v:rect style="width:0;height:1.5pt" o:hralign="center" o:hrstd="t" o:hr="t"/>
        </w:pict>
      </w:r>
    </w:p>
    <w:bookmarkEnd w:id="44"/>
    <w:bookmarkEnd w:id="45"/>
    <w:bookmarkStart w:id="49" w:name="review-and-report"/>
    <w:p>
      <w:pPr>
        <w:pStyle w:val="Heading2"/>
      </w:pPr>
      <w:r>
        <w:t xml:space="preserve">5. Review and Report</w:t>
      </w:r>
    </w:p>
    <w:bookmarkStart w:id="46" w:name="emission-hotspots"/>
    <w:p>
      <w:pPr>
        <w:pStyle w:val="Heading3"/>
      </w:pPr>
      <w:r>
        <w:t xml:space="preserve">5.1 Emission Hotspots</w:t>
      </w:r>
    </w:p>
    <w:p>
      <w:pPr>
        <w:pStyle w:val="FirstParagraph"/>
      </w:pPr>
      <w:r>
        <w:t xml:space="preserve">The analysis reveals the following key emission hotspots for product jvvykjfqvf:</w:t>
      </w:r>
    </w:p>
    <w:p>
      <w:pPr>
        <w:numPr>
          <w:ilvl w:val="0"/>
          <w:numId w:val="1014"/>
        </w:numPr>
        <w:pStyle w:val="Compact"/>
      </w:pPr>
      <w:r>
        <w:rPr>
          <w:bCs/>
          <w:b/>
        </w:rPr>
        <w:t xml:space="preserve">Use Phase (61.96%):</w:t>
      </w:r>
      <w:r>
        <w:t xml:space="preserve"> </w:t>
      </w:r>
      <w:r>
        <w:t xml:space="preserve">The most significant contributor to the total PCF is the energy consumption during the product\'s operational lifespan. This highlights the importance of energy efficiency improvements in product design and user behavior for significant impact reduction.</w:t>
      </w:r>
    </w:p>
    <w:p>
      <w:pPr>
        <w:numPr>
          <w:ilvl w:val="0"/>
          <w:numId w:val="1014"/>
        </w:numPr>
        <w:pStyle w:val="Compact"/>
      </w:pPr>
      <w:r>
        <w:rPr>
          <w:bCs/>
          <w:b/>
        </w:rPr>
        <w:t xml:space="preserve">Material Acquisition &amp; Production (32.12%):</w:t>
      </w:r>
      <w:r>
        <w:t xml:space="preserve"> </w:t>
      </w:r>
      <w:r>
        <w:t xml:space="preserve">Upstream material impacts are the second largest hotspot. This points to opportunities in material selection, optimizing material usage, and sourcing materials with lower embedded carbon.</w:t>
      </w:r>
    </w:p>
    <w:p>
      <w:pPr>
        <w:numPr>
          <w:ilvl w:val="0"/>
          <w:numId w:val="1014"/>
        </w:numPr>
        <w:pStyle w:val="Compact"/>
      </w:pPr>
      <w:r>
        <w:rPr>
          <w:bCs/>
          <w:b/>
        </w:rPr>
        <w:t xml:space="preserve">End-of-Life (3.31%):</w:t>
      </w:r>
      <w:r>
        <w:t xml:space="preserve"> </w:t>
      </w:r>
      <w:r>
        <w:t xml:space="preserve">While smaller, improving recyclability beyond 70% and strengthening circular programs can further reduce this impact.</w:t>
      </w:r>
    </w:p>
    <w:bookmarkEnd w:id="46"/>
    <w:bookmarkStart w:id="47" w:name="data-reliability-and-limitations"/>
    <w:p>
      <w:pPr>
        <w:pStyle w:val="Heading3"/>
      </w:pPr>
      <w:r>
        <w:t xml:space="preserve">5.2 Data Reliability and Limitations</w:t>
      </w:r>
    </w:p>
    <w:p>
      <w:pPr>
        <w:pStyle w:val="FirstParagraph"/>
      </w:pPr>
      <w:r>
        <w:t xml:space="preserve">This report integrates specific primary data where provided (e.g., BOM structure, energy intensity, lifespan).</w:t>
      </w:r>
      <w:r>
        <w:t xml:space="preserve"> </w:t>
      </w:r>
      <w:r>
        <w:t xml:space="preserve">However, due to the placeholder nature of some input parameters (e.g., "Select Mode", "wkjjqfgqyd", "Delivery Type", "jsxsqernkz", "ytxekhswks", "jfovdimtmm", "grqzyiijlg", "xjkfoishuj", "neiqqyjxqy"),</w:t>
      </w:r>
      <w:r>
        <w:t xml:space="preserve"> </w:t>
      </w:r>
      <w:r>
        <w:t xml:space="preserve">illustrative values and generic industry-average emission factors (e.g., from Ecoinvent/DEFRA for specific material categories, transport modes, and grid mixes) have been used.</w:t>
      </w:r>
      <w:r>
        <w:t xml:space="preserve"> </w:t>
      </w:r>
      <w:r>
        <w:t xml:space="preserve">These illustrative factors are representative but may not capture the precise nuances of zydfuhnoyx\'s specific supply chain or energy procurement beyond the stated renewable usage.</w:t>
      </w:r>
      <w:r>
        <w:t xml:space="preserve"> </w:t>
      </w:r>
      <w:r>
        <w:t xml:space="preserve">Future analyses would benefit from further primary data collection for these specific parameters.</w:t>
      </w:r>
    </w:p>
    <w:bookmarkEnd w:id="47"/>
    <w:bookmarkStart w:id="48" w:name="ghg-protocol-compliance"/>
    <w:p>
      <w:pPr>
        <w:pStyle w:val="Heading3"/>
      </w:pPr>
      <w:r>
        <w:t xml:space="preserve">5.3 GHG Protocol Compliance</w:t>
      </w:r>
    </w:p>
    <w:p>
      <w:pPr>
        <w:numPr>
          <w:ilvl w:val="0"/>
          <w:numId w:val="1015"/>
        </w:numPr>
        <w:pStyle w:val="Compact"/>
      </w:pPr>
      <w:r>
        <w:rPr>
          <w:bCs/>
          <w:b/>
        </w:rPr>
        <w:t xml:space="preserve">Scope 1, 2, 3 Categorization:</w:t>
      </w:r>
      <w:r>
        <w:t xml:space="preserve"> </w:t>
      </w:r>
      <w:r>
        <w:t xml:space="preserve">All emissions have been clearly categorized according to GHG Protocol standards.</w:t>
      </w:r>
    </w:p>
    <w:p>
      <w:pPr>
        <w:numPr>
          <w:ilvl w:val="0"/>
          <w:numId w:val="1015"/>
        </w:numPr>
        <w:pStyle w:val="Compact"/>
      </w:pPr>
      <w:r>
        <w:rPr>
          <w:bCs/>
          <w:b/>
        </w:rPr>
        <w:t xml:space="preserve">2026 LSR Update:</w:t>
      </w:r>
      <w:r>
        <w:t xml:space="preserve"> </w:t>
      </w:r>
      <w:r>
        <w:t xml:space="preserve">The principles of the Land Sector and Removals (LSR) Standard have been considered, particularly in acknowledging potential land-use impacts within material sourcing (though not explicitly quantified without specific land-use data).</w:t>
      </w:r>
    </w:p>
    <w:p>
      <w:pPr>
        <w:numPr>
          <w:ilvl w:val="0"/>
          <w:numId w:val="1015"/>
        </w:numPr>
        <w:pStyle w:val="Compact"/>
      </w:pPr>
      <w:r>
        <w:rPr>
          <w:bCs/>
          <w:b/>
        </w:rPr>
        <w:t xml:space="preserve">Scope 3 Coverage:</w:t>
      </w:r>
      <w:r>
        <w:t xml:space="preserve"> </w:t>
      </w:r>
      <w:r>
        <w:t xml:space="preserve">Efforts have been made to achieve comprehensive Scope 3 coverage, encompassing upstream material impacts, transport, use phase, and end-of-life, targeting the required ≥95% coverage.</w:t>
      </w:r>
    </w:p>
    <w:p>
      <w:r>
        <w:pict>
          <v:rect style="width:0;height:1.5pt" o:hralign="center" o:hrstd="t" o:hr="t"/>
        </w:pict>
      </w:r>
    </w:p>
    <w:bookmarkEnd w:id="48"/>
    <w:bookmarkEnd w:id="49"/>
    <w:bookmarkStart w:id="50" w:name="recommendations"/>
    <w:p>
      <w:pPr>
        <w:pStyle w:val="Heading2"/>
      </w:pPr>
      <w:r>
        <w:t xml:space="preserve">Recommendations</w:t>
      </w:r>
    </w:p>
    <w:p>
      <w:pPr>
        <w:numPr>
          <w:ilvl w:val="0"/>
          <w:numId w:val="1016"/>
        </w:numPr>
        <w:pStyle w:val="Compact"/>
      </w:pPr>
      <w:r>
        <w:rPr>
          <w:bCs/>
          <w:b/>
        </w:rPr>
        <w:t xml:space="preserve">Product Design for Energy Efficiency:</w:t>
      </w:r>
      <w:r>
        <w:t xml:space="preserve"> </w:t>
      </w:r>
      <w:r>
        <w:t xml:space="preserve">Focus on reducing energy consumption during the product\'s use phase through technological advancements and design optimization.</w:t>
      </w:r>
    </w:p>
    <w:p>
      <w:pPr>
        <w:numPr>
          <w:ilvl w:val="0"/>
          <w:numId w:val="1016"/>
        </w:numPr>
        <w:pStyle w:val="Compact"/>
      </w:pPr>
      <w:r>
        <w:rPr>
          <w:bCs/>
          <w:b/>
        </w:rPr>
        <w:t xml:space="preserve">Sustainable Material Sourcing:</w:t>
      </w:r>
      <w:r>
        <w:t xml:space="preserve"> </w:t>
      </w:r>
      <w:r>
        <w:t xml:space="preserve">Explore opportunities to substitute high-impact materials with lower-carbon alternatives or increase the content of recycled materials.</w:t>
      </w:r>
    </w:p>
    <w:p>
      <w:pPr>
        <w:numPr>
          <w:ilvl w:val="0"/>
          <w:numId w:val="1016"/>
        </w:numPr>
        <w:pStyle w:val="Compact"/>
      </w:pPr>
      <w:r>
        <w:rPr>
          <w:bCs/>
          <w:b/>
        </w:rPr>
        <w:t xml:space="preserve">Supply Chain Optimization:</w:t>
      </w:r>
      <w:r>
        <w:t xml:space="preserve"> </w:t>
      </w:r>
      <w:r>
        <w:t xml:space="preserve">Investigate more efficient or lower-emission transport modes where feasible, particularly for long-distance freight.</w:t>
      </w:r>
    </w:p>
    <w:p>
      <w:pPr>
        <w:numPr>
          <w:ilvl w:val="0"/>
          <w:numId w:val="1016"/>
        </w:numPr>
        <w:pStyle w:val="Compact"/>
      </w:pPr>
      <w:r>
        <w:rPr>
          <w:bCs/>
          <w:b/>
        </w:rPr>
        <w:t xml:space="preserve">Enhance Circularity:</w:t>
      </w:r>
      <w:r>
        <w:t xml:space="preserve"> </w:t>
      </w:r>
      <w:r>
        <w:t xml:space="preserve">Continue to strengthen and expand take-back and recycling programs ("neiqqyjxqy") to maximize material recovery and minimize waste, potentially aiming for higher than 70% recyclability.</w:t>
      </w:r>
    </w:p>
    <w:p>
      <w:pPr>
        <w:numPr>
          <w:ilvl w:val="0"/>
          <w:numId w:val="1016"/>
        </w:numPr>
        <w:pStyle w:val="Compact"/>
      </w:pPr>
      <w:r>
        <w:rPr>
          <w:bCs/>
          <w:b/>
        </w:rPr>
        <w:t xml:space="preserve">Data Refinement:</w:t>
      </w:r>
      <w:r>
        <w:t xml:space="preserve"> </w:t>
      </w:r>
      <w:r>
        <w:t xml:space="preserve">Collect more granular primary data for transport distances, specific energy consumption, and precise regional grid mixes to improve the accuracy of future PCF assessments.</w:t>
      </w:r>
    </w:p>
    <w:p>
      <w:pPr>
        <w:pStyle w:val="FirstParagraph"/>
      </w:pPr>
      <w:r>
        <w:t xml:space="preserve">Confidential - Internal Use Only</w:t>
      </w:r>
    </w:p>
    <w:bookmarkEnd w:id="50"/>
    <w:bookmarkEnd w:id="5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jvvykjfqvf</dc:title>
  <dc:creator/>
  <dc:description>Detailed Product Carbon Footprint (PCF) analysis report for product jvvykjfqvf by zydfuhnoyx, following GHG Protocol standards and 2026 LSR update.</dc:description>
  <dc:language>en</dc:language>
  <cp:keywords/>
  <dcterms:created xsi:type="dcterms:W3CDTF">2026-07-14T23:35:47Z</dcterms:created>
  <dcterms:modified xsi:type="dcterms:W3CDTF">2026-07-14T23:35:47Z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