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jvkwsjqlwo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jvkwsjqlwo</w:t>
      </w:r>
    </w:p>
    <w:p>
      <w:pPr>
        <w:pStyle w:val="BodyText"/>
      </w:pPr>
      <w:r>
        <w:rPr>
          <w:bCs/>
          <w:b/>
        </w:rPr>
        <w:t xml:space="preserve">Company Name:</w:t>
      </w:r>
      <w:r>
        <w:t xml:space="preserve"> </w:t>
      </w:r>
      <w:r>
        <w:t xml:space="preserve">whlfnplndo</w:t>
      </w:r>
    </w:p>
    <w:p>
      <w:pPr>
        <w:pStyle w:val="BodyText"/>
      </w:pPr>
      <w:r>
        <w:rPr>
          <w:bCs/>
          <w:b/>
        </w:rPr>
        <w:t xml:space="preserve">Senior Sustainability Consultant:</w:t>
      </w:r>
      <w:r>
        <w:t xml:space="preserve"> </w:t>
      </w:r>
      <w:r>
        <w:t xml:space="preserve">twsrvuxxtl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publication. The calculations rely on the provided parameters and illustrative emission factors where specific data was not supplied for demonstration purposes. Actual emissions may vary with real-world operational data.</w:t>
      </w:r>
    </w:p>
    <w:bookmarkEnd w:id="20"/>
    <w:bookmarkStart w:id="5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jvkwsjqlwo, manufactured by whlfnplndo. The assessment was conducted by twsrvuxxtl, Senior Sustainability Consultant, in accordance with the Greenhouse Gas (GHG) Protocol. The analysis covers the full lifecycle of the product, from raw material extraction to end-of-life, with a specific focus on upstream supply chain activities in Europe and final production in China. Key parameters such as a detailed Bill of Materials, transport logistics, energy consumption during production and use, and end-of-life scenarios have been incorporated to provide a comprehensive view of the product\'s environmental impact. The report also highlights adherence to the 2026 Land Sector and Removals (LSR) Standard and the 95% coverage requirement for Scope 3 emissions.</w:t>
      </w:r>
    </w:p>
    <w:p>
      <w:r>
        <w:pict>
          <v:rect style="width:0;height:1.5pt" o:hralign="center" o:hrstd="t" o:hr="t"/>
        </w:pict>
      </w:r>
    </w:p>
    <w:bookmarkEnd w:id="21"/>
    <w:bookmarkStart w:id="27" w:name="defining-the-scope-of-the-pcf-analysis"/>
    <w:p>
      <w:pPr>
        <w:pStyle w:val="Heading2"/>
      </w:pPr>
      <w:r>
        <w:t xml:space="preserve">1. Defining the Scope of the PCF Analysis</w:t>
      </w:r>
    </w:p>
    <w:p>
      <w:pPr>
        <w:pStyle w:val="FirstParagraph"/>
      </w:pPr>
      <w:r>
        <w:t xml:space="preserve">The foundation of a robust PCF analysis lies in clearly defining its scope, ensuring consistency, relevance, and accuracy in emission accounting.</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jvkwsjqlwo</w:t>
      </w:r>
      <w:r>
        <w:t xml:space="preserve">. This unit serves as the reference basis for quantifying all inputs and outputs throughout the product\'s lifecycle, allowing for consistent comparison and aggregation of environmental impacts.</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indicating a cradle-to-gate approach for primary production emissions. However, to provide a holistic view of the product\'s environmental impact, the analysis extends beyond the factory gate to include downstream lifecycle stages such as transportation to the consumer, the product\'s use phase, and its end-of-life treatment. This expanded view covers significant Scope 3 emissions. Emissions within the organizational boundaries of whlfnplndo (direct emissions from owned or controlled sources, and indirect emissions from purchased electricity) are categorized as Scope 1 and Scope 2, respectively. All other indirect emissions occurring in the value chain are classified as Scope 3.</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is crucial for selecting appropriate regional emission factors, particularly for electricity grids and transport networks.</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w:t>
      </w:r>
      <w:r>
        <w:t xml:space="preserve">. The GHG Protocol provides a comprehensive framework for measuring and managing greenhouse gas emissions, categorizing them into three scopes:</w:t>
      </w:r>
    </w:p>
    <w:p>
      <w:pPr>
        <w:numPr>
          <w:ilvl w:val="0"/>
          <w:numId w:val="1002"/>
        </w:numPr>
        <w:pStyle w:val="Compact"/>
      </w:pPr>
      <w:r>
        <w:rPr>
          <w:bCs/>
          <w:b/>
        </w:rPr>
        <w:t xml:space="preserve">Scope 1:</w:t>
      </w:r>
      <w:r>
        <w:t xml:space="preserve"> </w:t>
      </w:r>
      <w:r>
        <w:t xml:space="preserve">Direct GHG emissions from sources owned or controlled by whlfnplndo (e.g., fuel combustion in company vehicles or manufacturing processes).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whlfnplndo.</w:t>
      </w:r>
    </w:p>
    <w:p>
      <w:pPr>
        <w:numPr>
          <w:ilvl w:val="0"/>
          <w:numId w:val="1002"/>
        </w:numPr>
        <w:pStyle w:val="Compact"/>
      </w:pPr>
      <w:r>
        <w:rPr>
          <w:bCs/>
          <w:b/>
        </w:rPr>
        <w:t xml:space="preserve">Scope 3:</w:t>
      </w:r>
      <w:r>
        <w:t xml:space="preserve"> </w:t>
      </w:r>
      <w:r>
        <w:t xml:space="preserve">All other indirect emissions in the value chain, both upstream and downstream, not included in Scope 2 (e.g., purchased goods and services, transportation and distribution, use of sold products, and end-of-life treatment of sold products).</w:t>
      </w:r>
    </w:p>
    <w:bookmarkEnd w:id="25"/>
    <w:bookmarkStart w:id="26" w:name="allocation"/>
    <w:p>
      <w:pPr>
        <w:pStyle w:val="Heading3"/>
      </w:pPr>
      <w:r>
        <w:t xml:space="preserve">Allocation:</w:t>
      </w:r>
    </w:p>
    <w:p>
      <w:pPr>
        <w:pStyle w:val="FirstParagraph"/>
      </w:pPr>
      <w:r>
        <w:t xml:space="preserve">Emissions are allocated to the functional unit (1.0 unit of jvkwsjqlwo) using mass-based allocation where appropriate for shared processes or facilities, or direct allocation for processes directly attributable to the product. For multi-product systems, the environmental burden is distributed based on relevant physical relationships (e.g., mass, energy content) or economic value, in line with GHG Protocol guidance.</w:t>
      </w:r>
    </w:p>
    <w:p>
      <w:r>
        <w:pict>
          <v:rect style="width:0;height:1.5pt" o:hralign="center" o:hrstd="t" o:hr="t"/>
        </w:pict>
      </w:r>
    </w:p>
    <w:bookmarkEnd w:id="26"/>
    <w:bookmarkEnd w:id="27"/>
    <w:bookmarkStart w:id="35" w:name="X1c2b8334d48e66654b55f84164e32fa266cf112"/>
    <w:p>
      <w:pPr>
        <w:pStyle w:val="Heading2"/>
      </w:pPr>
      <w:r>
        <w:t xml:space="preserve">2. Mapping the Lifecycle (LCI Inventory Stages) &amp; 3. Collecting Data</w:t>
      </w:r>
    </w:p>
    <w:p>
      <w:pPr>
        <w:pStyle w:val="FirstParagraph"/>
      </w:pPr>
      <w:r>
        <w:t xml:space="preserve">This section details the lifecycle stages of jvkwsjqlwo and the data collected for each stage to quantify emissions. A cradle-to-grave perspective is adopted, integrating the "factory_gate" system boundary with downstream activities.</w:t>
      </w:r>
    </w:p>
    <w:bookmarkStart w:id="28" w:name="lifecycle-stages-overview"/>
    <w:p>
      <w:pPr>
        <w:pStyle w:val="Heading3"/>
      </w:pPr>
      <w:r>
        <w:t xml:space="preserve">Lifecycle Stages Overview:</w:t>
      </w:r>
    </w:p>
    <w:p>
      <w:pPr>
        <w:numPr>
          <w:ilvl w:val="0"/>
          <w:numId w:val="1003"/>
        </w:numPr>
        <w:pStyle w:val="Compact"/>
      </w:pPr>
      <w:r>
        <w:rPr>
          <w:bCs/>
          <w:b/>
        </w:rPr>
        <w:t xml:space="preserve">Materials Acquisition &amp; Pre-processing (Upstream - Scope 3)</w:t>
      </w:r>
      <w:r>
        <w:t xml:space="preserve">: Extraction of raw materials and their processing into usable forms.</w:t>
      </w:r>
    </w:p>
    <w:p>
      <w:pPr>
        <w:numPr>
          <w:ilvl w:val="0"/>
          <w:numId w:val="1003"/>
        </w:numPr>
        <w:pStyle w:val="Compact"/>
      </w:pPr>
      <w:r>
        <w:rPr>
          <w:bCs/>
          <w:b/>
        </w:rPr>
        <w:t xml:space="preserve">Production (Core Operations - Scope 1 &amp; 2)</w:t>
      </w:r>
      <w:r>
        <w:t xml:space="preserve">: Manufacturing of jvkwsjqlwo at whlfnplndo\'s facilities in China.</w:t>
      </w:r>
    </w:p>
    <w:p>
      <w:pPr>
        <w:numPr>
          <w:ilvl w:val="0"/>
          <w:numId w:val="1003"/>
        </w:numPr>
        <w:pStyle w:val="Compact"/>
      </w:pPr>
      <w:r>
        <w:rPr>
          <w:bCs/>
          <w:b/>
        </w:rPr>
        <w:t xml:space="preserve">Transportation (Upstream &amp; Downstream - Scope 3)</w:t>
      </w:r>
      <w:r>
        <w:t xml:space="preserve">: Transport of raw materials and components to the factory, and finished products to the customer.</w:t>
      </w:r>
    </w:p>
    <w:p>
      <w:pPr>
        <w:numPr>
          <w:ilvl w:val="0"/>
          <w:numId w:val="1003"/>
        </w:numPr>
        <w:pStyle w:val="Compact"/>
      </w:pPr>
      <w:r>
        <w:rPr>
          <w:bCs/>
          <w:b/>
        </w:rPr>
        <w:t xml:space="preserve">Use Phase (Downstream - Scope 3)</w:t>
      </w:r>
      <w:r>
        <w:t xml:space="preserve">: Energy consumption and other impacts associated with the product\'s use by the consumer.</w:t>
      </w:r>
    </w:p>
    <w:p>
      <w:pPr>
        <w:numPr>
          <w:ilvl w:val="0"/>
          <w:numId w:val="1003"/>
        </w:numPr>
        <w:pStyle w:val="Compact"/>
      </w:pPr>
      <w:r>
        <w:rPr>
          <w:bCs/>
          <w:b/>
        </w:rPr>
        <w:t xml:space="preserve">End-of-Life (Downstream - Scope 3)</w:t>
      </w:r>
      <w:r>
        <w:t xml:space="preserve">: Disposal, recycling, or recovery processes at the end of the product\'s useful life.</w:t>
      </w:r>
    </w:p>
    <w:bookmarkEnd w:id="28"/>
    <w:bookmarkStart w:id="34" w:name="X375f90d34e2738bf774185f3c83efd090ce459a"/>
    <w:p>
      <w:pPr>
        <w:pStyle w:val="Heading3"/>
      </w:pPr>
      <w:r>
        <w:t xml:space="preserve">Detailed Breakdown of Materials and Energy Inputs:</w:t>
      </w:r>
    </w:p>
    <w:bookmarkStart w:id="29" w:name="Xe12b00a8dd132b0bba8f3f7e2f6f18b07e268de"/>
    <w:p>
      <w:pPr>
        <w:pStyle w:val="Heading4"/>
      </w:pPr>
      <w:r>
        <w:t xml:space="preserve">2.1. Materials Acquisition &amp; Pre-processing (Scope 3 - Purchased Goods and Services)</w:t>
      </w:r>
    </w:p>
    <w:p>
      <w:pPr>
        <w:pStyle w:val="FirstParagraph"/>
      </w:pPr>
      <w:r>
        <w:t xml:space="preserve">The Detailed Bill of Materials (BOM) for jvkwsjqlwo is crucial for accurately quantifying the embodied emissions in purchased goods and services. The provided BOM (hnflhlzg) is parsed and presented below. The \'Total Carbon\' values from the BOM are directly used for material impact calculation as per instructions, reflecting the embodied emissions up to the point of acquisition for production.</w:t>
      </w:r>
    </w:p>
    <w:p>
      <w:pPr>
        <w:pStyle w:val="BodyText"/>
      </w:pPr>
      <w:r>
        <w:rPr>
          <w:bCs/>
          <w:b/>
        </w:rPr>
        <w:t xml:space="preserve">Detailed Bill of Materials (hnflhlzg):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bookmarkEnd w:id="29"/>
    <w:bookmarkStart w:id="30" w:name="production-phase-scope-1-scope-2"/>
    <w:p>
      <w:pPr>
        <w:pStyle w:val="Heading4"/>
      </w:pPr>
      <w:r>
        <w:t xml:space="preserve">2.2. Production Phase (Scope 1 &amp; Scope 2)</w:t>
      </w:r>
    </w:p>
    <w:p>
      <w:pPr>
        <w:pStyle w:val="FirstParagraph"/>
      </w:pPr>
      <w:r>
        <w:t xml:space="preserve">Emissions from the production phase are primarily driven by energy consumption and direct operational emissions. The production is located in China.</w:t>
      </w:r>
    </w:p>
    <w:p>
      <w:pPr>
        <w:numPr>
          <w:ilvl w:val="0"/>
          <w:numId w:val="1004"/>
        </w:numPr>
        <w:pStyle w:val="Compact"/>
      </w:pPr>
      <w:r>
        <w:rPr>
          <w:bCs/>
          <w:b/>
        </w:rPr>
        <w:t xml:space="preserve">Energy Intensity (kWh/unit):</w:t>
      </w:r>
      <w:r>
        <w:t xml:space="preserve"> </w:t>
      </w:r>
      <w:r>
        <w:t xml:space="preserve">nfyszyhkgh (Illustrative example: 2.5 kWh/unit)</w:t>
      </w:r>
    </w:p>
    <w:p>
      <w:pPr>
        <w:numPr>
          <w:ilvl w:val="0"/>
          <w:numId w:val="1004"/>
        </w:numPr>
        <w:pStyle w:val="Compact"/>
      </w:pPr>
      <w:r>
        <w:rPr>
          <w:bCs/>
          <w:b/>
        </w:rPr>
        <w:t xml:space="preserve">Renewable Energy Usage:</w:t>
      </w:r>
      <w:r>
        <w:t xml:space="preserve"> </w:t>
      </w:r>
      <w:r>
        <w:t xml:space="preserve">lftstyduxm (Illustrative example: 60%)</w:t>
      </w:r>
    </w:p>
    <w:p>
      <w:pPr>
        <w:pStyle w:val="FirstParagraph"/>
      </w:pPr>
      <w:r>
        <w:t xml:space="preserve">This information is vital for calculating both Scope 2 (purchased electricity) and potentially Scope 1 (on-site fuel combustion, if applicable, though not specified for this product) emissions during manufacturing.</w:t>
      </w:r>
    </w:p>
    <w:bookmarkEnd w:id="30"/>
    <w:bookmarkStart w:id="31" w:name="X981923b8cb60f0edee598a5efe02199461582eb"/>
    <w:p>
      <w:pPr>
        <w:pStyle w:val="Heading4"/>
      </w:pPr>
      <w:r>
        <w:t xml:space="preserve">2.3. Transportation (Scope 3 - Upstream &amp; Downstream)</w:t>
      </w:r>
    </w:p>
    <w:p>
      <w:pPr>
        <w:pStyle w:val="FirstParagraph"/>
      </w:pPr>
      <w:r>
        <w:t xml:space="preserve">Logistics data is incorporated to assess the emissions associated with moving materials and finished products.</w:t>
      </w:r>
    </w:p>
    <w:p>
      <w:pPr>
        <w:numPr>
          <w:ilvl w:val="0"/>
          <w:numId w:val="1005"/>
        </w:numPr>
        <w:pStyle w:val="Compact"/>
      </w:pPr>
      <w:r>
        <w:rPr>
          <w:bCs/>
          <w:b/>
        </w:rPr>
        <w:t xml:space="preserve">Transport Mode:</w:t>
      </w:r>
      <w:r>
        <w:t xml:space="preserve"> </w:t>
      </w:r>
      <w:r>
        <w:t xml:space="preserve">Select Mode (Illustrative example: Sea Freight for raw materials, Road Freight for finished goods)</w:t>
      </w:r>
    </w:p>
    <w:p>
      <w:pPr>
        <w:numPr>
          <w:ilvl w:val="0"/>
          <w:numId w:val="1005"/>
        </w:numPr>
        <w:pStyle w:val="Compact"/>
      </w:pPr>
      <w:r>
        <w:rPr>
          <w:bCs/>
          <w:b/>
        </w:rPr>
        <w:t xml:space="preserve">Transport Distance:</w:t>
      </w:r>
      <w:r>
        <w:t xml:space="preserve"> </w:t>
      </w:r>
      <w:r>
        <w:t xml:space="preserve">mjfdrdsjhl (Illustrative example: 8,000 km for sea freight, 500 km for road freight)</w:t>
      </w:r>
    </w:p>
    <w:p>
      <w:pPr>
        <w:numPr>
          <w:ilvl w:val="0"/>
          <w:numId w:val="1005"/>
        </w:numPr>
        <w:pStyle w:val="Compact"/>
      </w:pPr>
      <w:r>
        <w:rPr>
          <w:bCs/>
          <w:b/>
        </w:rPr>
        <w:t xml:space="preserve">Last-Mile Delivery Channel:</w:t>
      </w:r>
      <w:r>
        <w:t xml:space="preserve"> </w:t>
      </w:r>
      <w:r>
        <w:t xml:space="preserve">Delivery Type (Illustrative example: Local Van Delivery)</w:t>
      </w:r>
    </w:p>
    <w:p>
      <w:pPr>
        <w:pStyle w:val="FirstParagraph"/>
      </w:pPr>
      <w:r>
        <w:t xml:space="preserve">Given the "Europe Focused" supply chain and "Final Production Country: China", a multi-modal transport scenario is highly probable, involving long-distance sea freight and regional road freight. Last-mile delivery is a critical component of downstream transportation, impacting Scope 3 emissions.</w:t>
      </w:r>
    </w:p>
    <w:bookmarkEnd w:id="31"/>
    <w:bookmarkStart w:id="32" w:name="use-phase-scope-3---use-of-sold-products"/>
    <w:p>
      <w:pPr>
        <w:pStyle w:val="Heading4"/>
      </w:pPr>
      <w:r>
        <w:t xml:space="preserve">2.4. Use Phase (Scope 3 - Use of Sold Products)</w:t>
      </w:r>
    </w:p>
    <w:p>
      <w:pPr>
        <w:pStyle w:val="FirstParagraph"/>
      </w:pPr>
      <w:r>
        <w:t xml:space="preserve">The energy consumed during the product\'s operational life is a significant contributor to its overall footprint.</w:t>
      </w:r>
    </w:p>
    <w:p>
      <w:pPr>
        <w:numPr>
          <w:ilvl w:val="0"/>
          <w:numId w:val="1006"/>
        </w:numPr>
        <w:pStyle w:val="Compact"/>
      </w:pPr>
      <w:r>
        <w:rPr>
          <w:bCs/>
          <w:b/>
        </w:rPr>
        <w:t xml:space="preserve">Product Lifespan:</w:t>
      </w:r>
      <w:r>
        <w:t xml:space="preserve"> </w:t>
      </w:r>
      <w:r>
        <w:t xml:space="preserve">ygwwvmuxxm (Illustrative example: 5 years)</w:t>
      </w:r>
    </w:p>
    <w:p>
      <w:pPr>
        <w:numPr>
          <w:ilvl w:val="0"/>
          <w:numId w:val="1006"/>
        </w:numPr>
        <w:pStyle w:val="Compact"/>
      </w:pPr>
      <w:r>
        <w:rPr>
          <w:bCs/>
          <w:b/>
        </w:rPr>
        <w:t xml:space="preserve">Energy Consumption in Use:</w:t>
      </w:r>
      <w:r>
        <w:t xml:space="preserve"> </w:t>
      </w:r>
      <w:r>
        <w:t xml:space="preserve">kqrdsuounh (Illustrative example: 10 kWh/year)</w:t>
      </w:r>
    </w:p>
    <w:bookmarkEnd w:id="32"/>
    <w:bookmarkStart w:id="33" w:name="Xc3456190584f7ccba4e436ac9dec7d219320967"/>
    <w:p>
      <w:pPr>
        <w:pStyle w:val="Heading4"/>
      </w:pPr>
      <w:r>
        <w:t xml:space="preserve">2.5. End-of-Life (EoL) Scenarios (Scope 3 - End-of-Life Treatment of Sold Products)</w:t>
      </w:r>
    </w:p>
    <w:p>
      <w:pPr>
        <w:pStyle w:val="FirstParagraph"/>
      </w:pPr>
      <w:r>
        <w:t xml:space="preserve">The circularity aspects of the product are considered in the EoL phase.</w:t>
      </w:r>
    </w:p>
    <w:p>
      <w:pPr>
        <w:numPr>
          <w:ilvl w:val="0"/>
          <w:numId w:val="1007"/>
        </w:numPr>
        <w:pStyle w:val="Compact"/>
      </w:pPr>
      <w:r>
        <w:rPr>
          <w:bCs/>
          <w:b/>
        </w:rPr>
        <w:t xml:space="preserve">Recyclability Percentage:</w:t>
      </w:r>
      <w:r>
        <w:t xml:space="preserve"> </w:t>
      </w:r>
      <w:r>
        <w:t xml:space="preserve">dixggydwlf (Illustrative example: 75%)</w:t>
      </w:r>
    </w:p>
    <w:p>
      <w:pPr>
        <w:numPr>
          <w:ilvl w:val="0"/>
          <w:numId w:val="1007"/>
        </w:numPr>
        <w:pStyle w:val="Compact"/>
      </w:pPr>
      <w:r>
        <w:rPr>
          <w:bCs/>
          <w:b/>
        </w:rPr>
        <w:t xml:space="preserve">Circular/Take-back Programs:</w:t>
      </w:r>
      <w:r>
        <w:t xml:space="preserve"> </w:t>
      </w:r>
      <w:r>
        <w:t xml:space="preserve">fmgplzxxjm (Illustrative example: Yes, 20% of products returned)</w:t>
      </w:r>
    </w:p>
    <w:p>
      <w:pPr>
        <w:pStyle w:val="FirstParagraph"/>
      </w:pPr>
      <w:r>
        <w:t xml:space="preserve">These parameters influence the emissions associated with waste treatment and the potential for avoided emissions through recycling and reuse.</w:t>
      </w:r>
    </w:p>
    <w:p>
      <w:r>
        <w:pict>
          <v:rect style="width:0;height:1.5pt" o:hralign="center" o:hrstd="t" o:hr="t"/>
        </w:pict>
      </w:r>
    </w:p>
    <w:bookmarkEnd w:id="33"/>
    <w:bookmarkEnd w:id="34"/>
    <w:bookmarkEnd w:id="35"/>
    <w:bookmarkStart w:id="48" w:name="X3720d7d0541b3a6e3c473bd4daa188ddb828856"/>
    <w:p>
      <w:pPr>
        <w:pStyle w:val="Heading2"/>
      </w:pPr>
      <w:r>
        <w:t xml:space="preserve">4. Calculating Emissions (Activity * Emission Factor = CO2e)</w:t>
      </w:r>
    </w:p>
    <w:p>
      <w:pPr>
        <w:pStyle w:val="FirstParagraph"/>
      </w:pPr>
      <w:r>
        <w:t xml:space="preserve">This section outlines the calculation methodology for each lifecycle stage, categorizing emissions according to the GHG Protocol\'s Scope 1, 2, and 3 framework. Illustrative emission factors from industry-standard sources (e.g., Ecoinvent/DEFRA general averages) are used for demonstration purposes where specific values were not provided for activity data beyond the BOM. All results are expressed in kilograms of carbon dioxide equivalent (kgCO2e).</w:t>
      </w:r>
    </w:p>
    <w:bookmarkStart w:id="36" w:name="ghg-protocol-scopes"/>
    <w:p>
      <w:pPr>
        <w:pStyle w:val="Heading3"/>
      </w:pPr>
      <w:r>
        <w:t xml:space="preserve">GHG Protocol Scopes:</w:t>
      </w:r>
    </w:p>
    <w:p>
      <w:pPr>
        <w:numPr>
          <w:ilvl w:val="0"/>
          <w:numId w:val="1008"/>
        </w:numPr>
        <w:pStyle w:val="Compact"/>
      </w:pPr>
      <w:r>
        <w:rPr>
          <w:bCs/>
          <w:b/>
        </w:rPr>
        <w:t xml:space="preserve">Scope 1: Direct Emissions</w:t>
      </w:r>
      <w:r>
        <w:t xml:space="preserve"> </w:t>
      </w:r>
      <w:r>
        <w:t xml:space="preserve">from sources owned or controlled by whlfnplndo.</w:t>
      </w:r>
    </w:p>
    <w:p>
      <w:pPr>
        <w:numPr>
          <w:ilvl w:val="0"/>
          <w:numId w:val="1008"/>
        </w:numPr>
        <w:pStyle w:val="Compact"/>
      </w:pPr>
      <w:r>
        <w:rPr>
          <w:bCs/>
          <w:b/>
        </w:rPr>
        <w:t xml:space="preserve">Scope 2: Indirect Emissions</w:t>
      </w:r>
      <w:r>
        <w:t xml:space="preserve"> </w:t>
      </w:r>
      <w:r>
        <w:t xml:space="preserve">from the generation of purchased electricity, heat, or steam consumed by whlfnplndo.</w:t>
      </w:r>
    </w:p>
    <w:p>
      <w:pPr>
        <w:numPr>
          <w:ilvl w:val="0"/>
          <w:numId w:val="1008"/>
        </w:numPr>
        <w:pStyle w:val="Compact"/>
      </w:pPr>
      <w:r>
        <w:rPr>
          <w:bCs/>
          <w:b/>
        </w:rPr>
        <w:t xml:space="preserve">Scope 3: Other Indirect Emissions</w:t>
      </w:r>
      <w:r>
        <w:t xml:space="preserve"> </w:t>
      </w:r>
      <w:r>
        <w:t xml:space="preserve">occurring in the value chain, both upstream and downstream.</w:t>
      </w:r>
    </w:p>
    <w:bookmarkEnd w:id="36"/>
    <w:bookmarkStart w:id="37" w:name="X84d7903bcdab7f3b36a735e7fbb397c79caff0f"/>
    <w:p>
      <w:pPr>
        <w:pStyle w:val="Heading3"/>
      </w:pPr>
      <w:r>
        <w:t xml:space="preserve">Illustrative Emission Factors Used (General Industry Averages):</w:t>
      </w:r>
    </w:p>
    <w:p>
      <w:pPr>
        <w:numPr>
          <w:ilvl w:val="0"/>
          <w:numId w:val="1009"/>
        </w:numPr>
        <w:pStyle w:val="Compact"/>
      </w:pPr>
      <w:r>
        <w:rPr>
          <w:bCs/>
          <w:b/>
        </w:rPr>
        <w:t xml:space="preserve">Electricity (China National Grid Average):</w:t>
      </w:r>
      <w:r>
        <w:t xml:space="preserve"> </w:t>
      </w:r>
      <w:r>
        <w:t xml:space="preserve">~0.6205 kgCO2e/kWh (based on 2023 data)</w:t>
      </w:r>
    </w:p>
    <w:p>
      <w:pPr>
        <w:numPr>
          <w:ilvl w:val="0"/>
          <w:numId w:val="1009"/>
        </w:numPr>
        <w:pStyle w:val="Compact"/>
      </w:pPr>
      <w:r>
        <w:rPr>
          <w:bCs/>
          <w:b/>
        </w:rPr>
        <w:t xml:space="preserve">Renewable Electricity (e.g., Wind/Solar, residual emissions):</w:t>
      </w:r>
      <w:r>
        <w:t xml:space="preserve"> </w:t>
      </w:r>
      <w:r>
        <w:t xml:space="preserve">~0.05 kgCO2e/kWh (illustrative)</w:t>
      </w:r>
    </w:p>
    <w:p>
      <w:pPr>
        <w:numPr>
          <w:ilvl w:val="0"/>
          <w:numId w:val="1009"/>
        </w:numPr>
        <w:pStyle w:val="Compact"/>
      </w:pPr>
      <w:r>
        <w:rPr>
          <w:bCs/>
          <w:b/>
        </w:rPr>
        <w:t xml:space="preserve">Sea Freight (Container Ship):</w:t>
      </w:r>
      <w:r>
        <w:t xml:space="preserve"> </w:t>
      </w:r>
      <w:r>
        <w:t xml:space="preserve">~0.01 kgCO2e/tonne-km</w:t>
      </w:r>
    </w:p>
    <w:p>
      <w:pPr>
        <w:numPr>
          <w:ilvl w:val="0"/>
          <w:numId w:val="1009"/>
        </w:numPr>
        <w:pStyle w:val="Compact"/>
      </w:pPr>
      <w:r>
        <w:rPr>
          <w:bCs/>
          <w:b/>
        </w:rPr>
        <w:t xml:space="preserve">Road Freight (Heavy Goods Vehicle, Europe):</w:t>
      </w:r>
      <w:r>
        <w:t xml:space="preserve"> </w:t>
      </w:r>
      <w:r>
        <w:t xml:space="preserve">~0.092 kgCO2e/tonne-km</w:t>
      </w:r>
    </w:p>
    <w:p>
      <w:pPr>
        <w:numPr>
          <w:ilvl w:val="0"/>
          <w:numId w:val="1009"/>
        </w:numPr>
        <w:pStyle w:val="Compact"/>
      </w:pPr>
      <w:r>
        <w:rPr>
          <w:bCs/>
          <w:b/>
        </w:rPr>
        <w:t xml:space="preserve">Last-Mile Delivery (Average Van, Europe):</w:t>
      </w:r>
      <w:r>
        <w:t xml:space="preserve"> </w:t>
      </w:r>
      <w:r>
        <w:t xml:space="preserve">~0.249 kgCO2e/km (general average)</w:t>
      </w:r>
    </w:p>
    <w:p>
      <w:pPr>
        <w:numPr>
          <w:ilvl w:val="0"/>
          <w:numId w:val="1009"/>
        </w:numPr>
        <w:pStyle w:val="Compact"/>
      </w:pPr>
      <w:r>
        <w:rPr>
          <w:bCs/>
          <w:b/>
        </w:rPr>
        <w:t xml:space="preserve">Waste to Landfill (Mixed Waste):</w:t>
      </w:r>
      <w:r>
        <w:t xml:space="preserve"> </w:t>
      </w:r>
      <w:r>
        <w:t xml:space="preserve">~0.5 kgCO2e/kg (illustrative)</w:t>
      </w:r>
    </w:p>
    <w:p>
      <w:pPr>
        <w:numPr>
          <w:ilvl w:val="0"/>
          <w:numId w:val="1009"/>
        </w:numPr>
        <w:pStyle w:val="Compact"/>
      </w:pPr>
      <w:r>
        <w:rPr>
          <w:bCs/>
          <w:b/>
        </w:rPr>
        <w:t xml:space="preserve">Recycling (Avoided Emissions, e.g., Aluminum):</w:t>
      </w:r>
      <w:r>
        <w:t xml:space="preserve"> </w:t>
      </w:r>
      <w:r>
        <w:t xml:space="preserve">~-3.0 kgCO2e/kg (illustrative)</w:t>
      </w:r>
    </w:p>
    <w:bookmarkEnd w:id="37"/>
    <w:bookmarkStart w:id="43" w:name="calculation-by-lifecycle-stage"/>
    <w:p>
      <w:pPr>
        <w:pStyle w:val="Heading3"/>
      </w:pPr>
      <w:r>
        <w:t xml:space="preserve">Calculation by Lifecycle Stage:</w:t>
      </w:r>
    </w:p>
    <w:bookmarkStart w:id="38" w:name="X6cdfe2864055cbf2e193b5777ce59ed40c98dd4"/>
    <w:p>
      <w:pPr>
        <w:pStyle w:val="Heading4"/>
      </w:pPr>
      <w:r>
        <w:t xml:space="preserve">4.1. Materials Acquisition &amp; Pre-processing (Scope 3 - Purchased Goods and Services)</w:t>
      </w:r>
    </w:p>
    <w:p>
      <w:pPr>
        <w:pStyle w:val="FirstParagraph"/>
      </w:pPr>
      <w:r>
        <w:t xml:space="preserve">Emissions from raw materials are calculated by summing the \'Total Carbon\' values directly from the provided Detailed BOM (hnflhlzg). This represents the embodied emissions of materials purchased for product jvkwsjqlwo.</w:t>
      </w:r>
    </w:p>
    <w:p>
      <w:pPr>
        <w:pStyle w:val="BodyText"/>
      </w:pPr>
      <w:r>
        <w:rPr>
          <w:bCs/>
          <w:b/>
        </w:rPr>
        <w:t xml:space="preserve">Total Material Emissions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0.2</w:t>
            </w:r>
          </w:p>
        </w:tc>
      </w:tr>
      <w:tr>
        <w:tc>
          <w:tcPr/>
          <w:p>
            <w:pPr>
              <w:pStyle w:val="Compact"/>
              <w:jc w:val="left"/>
            </w:pPr>
            <w:r>
              <w:t xml:space="preserve">Total</w:t>
            </w:r>
          </w:p>
        </w:tc>
        <w:tc>
          <w:tcPr/>
          <w:p>
            <w:pPr>
              <w:pStyle w:val="Compact"/>
            </w:pPr>
          </w:p>
        </w:tc>
        <w:tc>
          <w:tcPr/>
          <w:p>
            <w:pPr>
              <w:pStyle w:val="Compact"/>
              <w:jc w:val="left"/>
            </w:pPr>
            <w:r>
              <w:t xml:space="preserve">5.8</w:t>
            </w:r>
          </w:p>
        </w:tc>
      </w:tr>
    </w:tbl>
    <w:p>
      <w:pPr>
        <w:pStyle w:val="BodyText"/>
      </w:pPr>
      <w:r>
        <w:rPr>
          <w:bCs/>
          <w:b/>
        </w:rPr>
        <w:t xml:space="preserve">Total Emissions from Materials: 5.8 kgCO2e</w:t>
      </w:r>
    </w:p>
    <w:bookmarkEnd w:id="38"/>
    <w:bookmarkStart w:id="39" w:name="production-phase-scope-1-scope-2-1"/>
    <w:p>
      <w:pPr>
        <w:pStyle w:val="Heading4"/>
      </w:pPr>
      <w:r>
        <w:t xml:space="preserve">4.2. Production Phase (Scope 1 &amp; Scope 2)</w:t>
      </w:r>
    </w:p>
    <w:p>
      <w:pPr>
        <w:pStyle w:val="FirstParagraph"/>
      </w:pPr>
      <w:r>
        <w:t xml:space="preserve">Emissions from the production facility in China are calculated based on energy intensity and renewable energy usage. Assuming the energy consumption is primarily electricity.</w:t>
      </w:r>
    </w:p>
    <w:p>
      <w:pPr>
        <w:pStyle w:val="BodyText"/>
      </w:pPr>
      <w:r>
        <w:rPr>
          <w:bCs/>
          <w:b/>
        </w:rPr>
        <w:t xml:space="preserve">Parameters:</w:t>
      </w:r>
    </w:p>
    <w:p>
      <w:pPr>
        <w:numPr>
          <w:ilvl w:val="0"/>
          <w:numId w:val="1010"/>
        </w:numPr>
        <w:pStyle w:val="Compact"/>
      </w:pPr>
      <w:r>
        <w:t xml:space="preserve">Energy Intensity (kWh/unit): nfyszyhkgh (e.g., 2.5 kWh/unit)</w:t>
      </w:r>
    </w:p>
    <w:p>
      <w:pPr>
        <w:numPr>
          <w:ilvl w:val="0"/>
          <w:numId w:val="1010"/>
        </w:numPr>
        <w:pStyle w:val="Compact"/>
      </w:pPr>
      <w:r>
        <w:t xml:space="preserve">Renewable Energy Usage: lftstyduxm (e.g., 60%)</w:t>
      </w:r>
    </w:p>
    <w:p>
      <w:pPr>
        <w:numPr>
          <w:ilvl w:val="0"/>
          <w:numId w:val="1010"/>
        </w:numPr>
        <w:pStyle w:val="Compact"/>
      </w:pPr>
      <w:r>
        <w:t xml:space="preserve">Non-Renewable Energy Usage: (100% - lftstyduxm) = (100% - 60%) = 40%</w:t>
      </w:r>
    </w:p>
    <w:p>
      <w:pPr>
        <w:numPr>
          <w:ilvl w:val="0"/>
          <w:numId w:val="1010"/>
        </w:numPr>
        <w:pStyle w:val="Compact"/>
      </w:pPr>
      <w:r>
        <w:t xml:space="preserve">Electricity Emission Factor (China Grid Average): 0.6205 kgCO2e/kWh</w:t>
      </w:r>
    </w:p>
    <w:p>
      <w:pPr>
        <w:numPr>
          <w:ilvl w:val="0"/>
          <w:numId w:val="1010"/>
        </w:numPr>
        <w:pStyle w:val="Compact"/>
      </w:pPr>
      <w:r>
        <w:t xml:space="preserve">Renewable Electricity Emission Factor (Illustrative Residual): 0.05 kgCO2e/kWh</w:t>
      </w:r>
    </w:p>
    <w:p>
      <w:pPr>
        <w:pStyle w:val="FirstParagraph"/>
      </w:pPr>
      <w:r>
        <w:rPr>
          <w:bCs/>
          <w:b/>
        </w:rPr>
        <w:t xml:space="preserve">Calculation:</w:t>
      </w:r>
    </w:p>
    <w:p>
      <w:pPr>
        <w:numPr>
          <w:ilvl w:val="0"/>
          <w:numId w:val="1011"/>
        </w:numPr>
        <w:pStyle w:val="Compact"/>
      </w:pPr>
      <w:r>
        <w:t xml:space="preserve">Emissions from Non-Renewable Electricity = `nfyszyhkgh * (1 - lftstyduxm) * China Grid EF`</w:t>
      </w:r>
    </w:p>
    <w:p>
      <w:pPr>
        <w:numPr>
          <w:ilvl w:val="0"/>
          <w:numId w:val="1011"/>
        </w:numPr>
        <w:pStyle w:val="Compact"/>
      </w:pPr>
      <w:r>
        <w:t xml:space="preserve">Emissions from Renewable Electricity = `nfyszyhkgh * lftstyduxm * Renewable EF`</w:t>
      </w:r>
    </w:p>
    <w:p>
      <w:pPr>
        <w:pStyle w:val="FirstParagraph"/>
      </w:pPr>
      <w:r>
        <w:rPr>
          <w:iCs/>
          <w:i/>
        </w:rPr>
        <w:t xml:space="preserve">Illustrative Calculation:</w:t>
      </w:r>
    </w:p>
    <w:p>
      <w:pPr>
        <w:numPr>
          <w:ilvl w:val="0"/>
          <w:numId w:val="1012"/>
        </w:numPr>
        <w:pStyle w:val="Compact"/>
      </w:pPr>
      <w:r>
        <w:t xml:space="preserve">Non-Renewable Electricity Emissions = `2.5 kWh/unit * 0.40 * 0.6205 kgCO2e/kWh = 0.6205 kgCO2e/unit`</w:t>
      </w:r>
    </w:p>
    <w:p>
      <w:pPr>
        <w:numPr>
          <w:ilvl w:val="0"/>
          <w:numId w:val="1012"/>
        </w:numPr>
        <w:pStyle w:val="Compact"/>
      </w:pPr>
      <w:r>
        <w:t xml:space="preserve">Renewable Electricity Emissions = `2.5 kWh/unit * 0.60 * 0.05 kgCO2e/kWh = 0.075 kgCO2e/unit`</w:t>
      </w:r>
    </w:p>
    <w:p>
      <w:pPr>
        <w:numPr>
          <w:ilvl w:val="0"/>
          <w:numId w:val="1012"/>
        </w:numPr>
        <w:pStyle w:val="Compact"/>
      </w:pPr>
      <w:r>
        <w:rPr>
          <w:bCs/>
          <w:b/>
        </w:rPr>
        <w:t xml:space="preserve">Total Production Energy Emissions (Scope 2) = 0.6205 + 0.075 = 0.6955 kgCO2e/unit</w:t>
      </w:r>
    </w:p>
    <w:p>
      <w:pPr>
        <w:pStyle w:val="FirstParagraph"/>
      </w:pPr>
      <w:r>
        <w:rPr>
          <w:iCs/>
          <w:i/>
        </w:rPr>
        <w:t xml:space="preserve">Note: Any direct fuel combustion on-site would be accounted for as Scope 1, but no such data was provided.</w:t>
      </w:r>
    </w:p>
    <w:bookmarkEnd w:id="39"/>
    <w:bookmarkStart w:id="40" w:name="X51fc88e0178640d33e834d3d723e30af480d11b"/>
    <w:p>
      <w:pPr>
        <w:pStyle w:val="Heading4"/>
      </w:pPr>
      <w:r>
        <w:t xml:space="preserve">4.3. Transportation (Scope 3 - Upstream &amp; Downstream)</w:t>
      </w:r>
    </w:p>
    <w:p>
      <w:pPr>
        <w:pStyle w:val="FirstParagraph"/>
      </w:pPr>
      <w:r>
        <w:t xml:space="preserve">This includes upstream transport of materials to the factory in China and downstream transport of the finished product to the customer in Europe, including last-mile delivery.</w:t>
      </w:r>
    </w:p>
    <w:p>
      <w:pPr>
        <w:pStyle w:val="BodyText"/>
      </w:pPr>
      <w:r>
        <w:rPr>
          <w:bCs/>
          <w:b/>
        </w:rPr>
        <w:t xml:space="preserve">Parameters:</w:t>
      </w:r>
    </w:p>
    <w:p>
      <w:pPr>
        <w:numPr>
          <w:ilvl w:val="0"/>
          <w:numId w:val="1013"/>
        </w:numPr>
        <w:pStyle w:val="Compact"/>
      </w:pPr>
      <w:r>
        <w:t xml:space="preserve">Upstream Transport Distance (e.g., raw materials from Europe to China by sea): mjfdrdsjhl (e.g., 8000 km, assuming a total product weight of 1kg for illustrative purposes)</w:t>
      </w:r>
    </w:p>
    <w:p>
      <w:pPr>
        <w:numPr>
          <w:ilvl w:val="0"/>
          <w:numId w:val="1013"/>
        </w:numPr>
        <w:pStyle w:val="Compact"/>
      </w:pPr>
      <w:r>
        <w:t xml:space="preserve">Downstream Transport Distance (e.g., finished product from China to Europe by sea): mjfdrdsjhl (e.g., 8000 km, for 1 unit)</w:t>
      </w:r>
    </w:p>
    <w:p>
      <w:pPr>
        <w:numPr>
          <w:ilvl w:val="0"/>
          <w:numId w:val="1013"/>
        </w:numPr>
        <w:pStyle w:val="Compact"/>
      </w:pPr>
      <w:r>
        <w:t xml:space="preserve">Regional Distribution (e.g., within Europe by road): mjfdrdsjhl (e.g., 500 km, for 1 unit)</w:t>
      </w:r>
    </w:p>
    <w:p>
      <w:pPr>
        <w:numPr>
          <w:ilvl w:val="0"/>
          <w:numId w:val="1013"/>
        </w:numPr>
        <w:pStyle w:val="Compact"/>
      </w:pPr>
      <w:r>
        <w:t xml:space="preserve">Last-Mile Delivery Distance (e.g., local van): (e.g., 10 km, for 1 unit)</w:t>
      </w:r>
    </w:p>
    <w:p>
      <w:pPr>
        <w:numPr>
          <w:ilvl w:val="0"/>
          <w:numId w:val="1013"/>
        </w:numPr>
        <w:pStyle w:val="Compact"/>
      </w:pPr>
      <w:r>
        <w:t xml:space="preserve">Sea Freight Emission Factor: 0.01 kgCO2e/tonne-km</w:t>
      </w:r>
    </w:p>
    <w:p>
      <w:pPr>
        <w:numPr>
          <w:ilvl w:val="0"/>
          <w:numId w:val="1013"/>
        </w:numPr>
        <w:pStyle w:val="Compact"/>
      </w:pPr>
      <w:r>
        <w:t xml:space="preserve">Road Freight Emission Factor (HGV, Europe): 0.092 kgCO2e/tonne-km</w:t>
      </w:r>
    </w:p>
    <w:p>
      <w:pPr>
        <w:numPr>
          <w:ilvl w:val="0"/>
          <w:numId w:val="1013"/>
        </w:numPr>
        <w:pStyle w:val="Compact"/>
      </w:pPr>
      <w:r>
        <w:t xml:space="preserve">Last-Mile Van Emission Factor: 0.249 kgCO2e/km</w:t>
      </w:r>
    </w:p>
    <w:p>
      <w:pPr>
        <w:pStyle w:val="FirstParagraph"/>
      </w:pPr>
      <w:r>
        <w:rPr>
          <w:bCs/>
          <w:b/>
        </w:rPr>
        <w:t xml:space="preserve">Calculations:</w:t>
      </w:r>
    </w:p>
    <w:p>
      <w:pPr>
        <w:numPr>
          <w:ilvl w:val="0"/>
          <w:numId w:val="1014"/>
        </w:numPr>
        <w:pStyle w:val="Compact"/>
      </w:pPr>
      <w:r>
        <w:t xml:space="preserve">Upstream Sea Freight (assuming 1kg product weight): `8000 km * (1 kg / 1000 kg/tonne) * 0.01 kgCO2e/tonne-km = 0.08 kgCO2e`</w:t>
      </w:r>
    </w:p>
    <w:p>
      <w:pPr>
        <w:numPr>
          <w:ilvl w:val="0"/>
          <w:numId w:val="1014"/>
        </w:numPr>
        <w:pStyle w:val="Compact"/>
      </w:pPr>
      <w:r>
        <w:t xml:space="preserve">Downstream Sea Freight: `8000 km * (1 kg / 1000 kg/tonne) * 0.01 kgCO2e/tonne-km = 0.08 kgCO2e`</w:t>
      </w:r>
    </w:p>
    <w:p>
      <w:pPr>
        <w:numPr>
          <w:ilvl w:val="0"/>
          <w:numId w:val="1014"/>
        </w:numPr>
        <w:pStyle w:val="Compact"/>
      </w:pPr>
      <w:r>
        <w:t xml:space="preserve">Regional Road Freight: `500 km * (1 kg / 1000 kg/tonne) * 0.092 kgCO2e/tonne-km = 0.046 kgCO2e`</w:t>
      </w:r>
    </w:p>
    <w:p>
      <w:pPr>
        <w:numPr>
          <w:ilvl w:val="0"/>
          <w:numId w:val="1014"/>
        </w:numPr>
        <w:pStyle w:val="Compact"/>
      </w:pPr>
      <w:r>
        <w:t xml:space="preserve">Last-Mile Delivery: `10 km * 0.249 kgCO2e/km = 2.49 kgCO2e` (assuming one delivery trip per unit, which might be a high estimate for a single parcel but illustrative for the channel)</w:t>
      </w:r>
    </w:p>
    <w:p>
      <w:pPr>
        <w:pStyle w:val="FirstParagraph"/>
      </w:pPr>
      <w:r>
        <w:rPr>
          <w:iCs/>
          <w:i/>
        </w:rPr>
        <w:t xml:space="preserve">Note: Last-mile emissions per parcel can vary significantly; here, we use a per-km factor for a van.</w:t>
      </w:r>
    </w:p>
    <w:p>
      <w:pPr>
        <w:pStyle w:val="BodyText"/>
      </w:pPr>
      <w:r>
        <w:rPr>
          <w:bCs/>
          <w:b/>
        </w:rPr>
        <w:t xml:space="preserve">Total Transportation Emissions (Scope 3): 0.08 + 0.08 + 0.046 + 2.49 = 2.696 kgCO2e/unit</w:t>
      </w:r>
    </w:p>
    <w:bookmarkEnd w:id="40"/>
    <w:bookmarkStart w:id="41" w:name="X40ebcc648273761081d8ab5ed1a37d13f73bc89"/>
    <w:p>
      <w:pPr>
        <w:pStyle w:val="Heading4"/>
      </w:pPr>
      <w:r>
        <w:t xml:space="preserve">4.4. Use Phase (Scope 3 - Use of Sold Products)</w:t>
      </w:r>
    </w:p>
    <w:p>
      <w:pPr>
        <w:pStyle w:val="FirstParagraph"/>
      </w:pPr>
      <w:r>
        <w:t xml:space="preserve">Emissions during the use phase are based on the product\'s lifespan and annual energy consumption. Assuming the energy consumed by the user is standard grid electricity in Europe (illustrative EF: 0.25 kgCO2e/kWh, average for EU grid).</w:t>
      </w:r>
    </w:p>
    <w:p>
      <w:pPr>
        <w:pStyle w:val="BodyText"/>
      </w:pPr>
      <w:r>
        <w:rPr>
          <w:bCs/>
          <w:b/>
        </w:rPr>
        <w:t xml:space="preserve">Parameters:</w:t>
      </w:r>
    </w:p>
    <w:p>
      <w:pPr>
        <w:numPr>
          <w:ilvl w:val="0"/>
          <w:numId w:val="1015"/>
        </w:numPr>
        <w:pStyle w:val="Compact"/>
      </w:pPr>
      <w:r>
        <w:t xml:space="preserve">Product Lifespan: ygwwvmuxxm (e.g., 5 years)</w:t>
      </w:r>
    </w:p>
    <w:p>
      <w:pPr>
        <w:numPr>
          <w:ilvl w:val="0"/>
          <w:numId w:val="1015"/>
        </w:numPr>
        <w:pStyle w:val="Compact"/>
      </w:pPr>
      <w:r>
        <w:t xml:space="preserve">Energy Consumption in Use: kqrdsuounh (e.g., 10 kWh/year)</w:t>
      </w:r>
    </w:p>
    <w:p>
      <w:pPr>
        <w:numPr>
          <w:ilvl w:val="0"/>
          <w:numId w:val="1015"/>
        </w:numPr>
        <w:pStyle w:val="Compact"/>
      </w:pPr>
      <w:r>
        <w:t xml:space="preserve">Electricity Emission Factor (Europe Grid Average, Illustrative): 0.25 kgCO2e/kWh</w:t>
      </w:r>
    </w:p>
    <w:p>
      <w:pPr>
        <w:pStyle w:val="FirstParagraph"/>
      </w:pPr>
      <w:r>
        <w:rPr>
          <w:bCs/>
          <w:b/>
        </w:rPr>
        <w:t xml:space="preserve">Calculation:</w:t>
      </w:r>
    </w:p>
    <w:p>
      <w:pPr>
        <w:numPr>
          <w:ilvl w:val="0"/>
          <w:numId w:val="1016"/>
        </w:numPr>
        <w:pStyle w:val="Compact"/>
      </w:pPr>
      <w:r>
        <w:t xml:space="preserve">Total Energy Consumption in Use = `Product Lifespan * Energy Consumption in Use`</w:t>
      </w:r>
    </w:p>
    <w:p>
      <w:pPr>
        <w:numPr>
          <w:ilvl w:val="0"/>
          <w:numId w:val="1016"/>
        </w:numPr>
        <w:pStyle w:val="Compact"/>
      </w:pPr>
      <w:r>
        <w:t xml:space="preserve">Use Phase Emissions = `Total Energy Consumption in Use * Electricity EF`</w:t>
      </w:r>
    </w:p>
    <w:p>
      <w:pPr>
        <w:pStyle w:val="FirstParagraph"/>
      </w:pPr>
      <w:r>
        <w:rPr>
          <w:iCs/>
          <w:i/>
        </w:rPr>
        <w:t xml:space="preserve">Illustrative Calculation:</w:t>
      </w:r>
    </w:p>
    <w:p>
      <w:pPr>
        <w:numPr>
          <w:ilvl w:val="0"/>
          <w:numId w:val="1017"/>
        </w:numPr>
        <w:pStyle w:val="Compact"/>
      </w:pPr>
      <w:r>
        <w:t xml:space="preserve">Total Energy Consumption = `5 years * 10 kWh/year = 50 kWh`</w:t>
      </w:r>
    </w:p>
    <w:p>
      <w:pPr>
        <w:numPr>
          <w:ilvl w:val="0"/>
          <w:numId w:val="1017"/>
        </w:numPr>
        <w:pStyle w:val="Compact"/>
      </w:pPr>
      <w:r>
        <w:rPr>
          <w:bCs/>
          <w:b/>
        </w:rPr>
        <w:t xml:space="preserve">Total Use Phase Emissions (Scope 3) = 50 kWh * 0.25 kgCO2e/kWh = 12.5 kgCO2e/unit</w:t>
      </w:r>
    </w:p>
    <w:bookmarkEnd w:id="41"/>
    <w:bookmarkStart w:id="42" w:name="X506fa81bbdb4a73a8398c1091ccb66d690d7258"/>
    <w:p>
      <w:pPr>
        <w:pStyle w:val="Heading4"/>
      </w:pPr>
      <w:r>
        <w:t xml:space="preserve">4.5. End-of-Life (EoL) Scenarios (Scope 3 - End-of-Life Treatment of Sold Products)</w:t>
      </w:r>
    </w:p>
    <w:p>
      <w:pPr>
        <w:pStyle w:val="FirstParagraph"/>
      </w:pPr>
      <w:r>
        <w:t xml:space="preserve">EoL emissions consider recyclability and circular programs, with a focus on avoided emissions through recycling.</w:t>
      </w:r>
    </w:p>
    <w:p>
      <w:pPr>
        <w:pStyle w:val="BodyText"/>
      </w:pPr>
      <w:r>
        <w:rPr>
          <w:bCs/>
          <w:b/>
        </w:rPr>
        <w:t xml:space="preserve">Parameters:</w:t>
      </w:r>
    </w:p>
    <w:p>
      <w:pPr>
        <w:numPr>
          <w:ilvl w:val="0"/>
          <w:numId w:val="1018"/>
        </w:numPr>
        <w:pStyle w:val="Compact"/>
      </w:pPr>
      <w:r>
        <w:t xml:space="preserve">Recyclability Percentage: dixggydwlf (e.g., 75%)</w:t>
      </w:r>
    </w:p>
    <w:p>
      <w:pPr>
        <w:numPr>
          <w:ilvl w:val="0"/>
          <w:numId w:val="1018"/>
        </w:numPr>
        <w:pStyle w:val="Compact"/>
      </w:pPr>
      <w:r>
        <w:t xml:space="preserve">Circular/Take-back Programs: fmgplzxxjm (e.g., Yes, 20% of products returned for remanufacturing/high-value recycling, implying 20% handled differently from general recycling)</w:t>
      </w:r>
    </w:p>
    <w:p>
      <w:pPr>
        <w:numPr>
          <w:ilvl w:val="0"/>
          <w:numId w:val="1018"/>
        </w:numPr>
        <w:pStyle w:val="Compact"/>
      </w:pPr>
      <w:r>
        <w:t xml:space="preserve">Product Weight (total, illustrative based on BOM items): Sum of Qty in BOM (0.5+0.2+0.1+0.05) = 0.85 kg</w:t>
      </w:r>
    </w:p>
    <w:p>
      <w:pPr>
        <w:numPr>
          <w:ilvl w:val="0"/>
          <w:numId w:val="1018"/>
        </w:numPr>
        <w:pStyle w:val="Compact"/>
      </w:pPr>
      <w:r>
        <w:t xml:space="preserve">Landfill Emission Factor (illustrative): 0.5 kgCO2e/kg</w:t>
      </w:r>
    </w:p>
    <w:p>
      <w:pPr>
        <w:numPr>
          <w:ilvl w:val="0"/>
          <w:numId w:val="1018"/>
        </w:numPr>
        <w:pStyle w:val="Compact"/>
      </w:pPr>
      <w:r>
        <w:t xml:space="preserve">Recycling Avoided Emission Factor (illustrative net benefit): -3.0 kgCO2e/kg (assuming high-value material like aluminum with significant avoided emissions)</w:t>
      </w:r>
    </w:p>
    <w:p>
      <w:pPr>
        <w:pStyle w:val="FirstParagraph"/>
      </w:pPr>
      <w:r>
        <w:rPr>
          <w:bCs/>
          <w:b/>
        </w:rPr>
        <w:t xml:space="preserve">Calculations:</w:t>
      </w:r>
    </w:p>
    <w:p>
      <w:pPr>
        <w:numPr>
          <w:ilvl w:val="0"/>
          <w:numId w:val="1019"/>
        </w:numPr>
        <w:pStyle w:val="Compact"/>
      </w:pPr>
      <w:r>
        <w:t xml:space="preserve">Products handled by Take-back Program = `Product Weight * 0.20` = `0.85 kg * 0.20 = 0.17 kg` (Assume this 20% is fully recycled with high efficiency)</w:t>
      </w:r>
    </w:p>
    <w:p>
      <w:pPr>
        <w:numPr>
          <w:ilvl w:val="0"/>
          <w:numId w:val="1019"/>
        </w:numPr>
        <w:pStyle w:val="Compact"/>
      </w:pPr>
      <w:r>
        <w:t xml:space="preserve">Remaining for general EoL = `Product Weight * (1 - 0.20)` = `0.85 kg * 0.80 = 0.68 kg`</w:t>
      </w:r>
    </w:p>
    <w:p>
      <w:pPr>
        <w:numPr>
          <w:ilvl w:val="0"/>
          <w:numId w:val="1019"/>
        </w:numPr>
        <w:pStyle w:val="Compact"/>
      </w:pPr>
      <w:r>
        <w:t xml:space="preserve">Portion recycled from general EoL = `Remaining for general EoL * dixggydwlf` = `0.68 kg * 0.75 = 0.51 kg`</w:t>
      </w:r>
    </w:p>
    <w:p>
      <w:pPr>
        <w:numPr>
          <w:ilvl w:val="0"/>
          <w:numId w:val="1019"/>
        </w:numPr>
        <w:pStyle w:val="Compact"/>
      </w:pPr>
      <w:r>
        <w:t xml:space="preserve">Portion to landfill from general EoL = `Remaining for general EoL * (1 - dixggydwlf)` = `0.68 kg * 0.25 = 0.17 kg`</w:t>
      </w:r>
    </w:p>
    <w:p>
      <w:pPr>
        <w:pStyle w:val="FirstParagraph"/>
      </w:pPr>
      <w:r>
        <w:rPr>
          <w:iCs/>
          <w:i/>
        </w:rPr>
        <w:t xml:space="preserve">Emissions/Credits:</w:t>
      </w:r>
    </w:p>
    <w:p>
      <w:pPr>
        <w:numPr>
          <w:ilvl w:val="0"/>
          <w:numId w:val="1020"/>
        </w:numPr>
        <w:pStyle w:val="Compact"/>
      </w:pPr>
      <w:r>
        <w:t xml:space="preserve">Take-back Program (Recycling Benefit) = `0.17 kg * -3.0 kgCO2e/kg = -0.51 kgCO2e`</w:t>
      </w:r>
    </w:p>
    <w:p>
      <w:pPr>
        <w:numPr>
          <w:ilvl w:val="0"/>
          <w:numId w:val="1020"/>
        </w:numPr>
        <w:pStyle w:val="Compact"/>
      </w:pPr>
      <w:r>
        <w:t xml:space="preserve">General Recycling Benefit = `0.51 kg * -3.0 kgCO2e/kg = -1.53 kgCO2e`</w:t>
      </w:r>
    </w:p>
    <w:p>
      <w:pPr>
        <w:numPr>
          <w:ilvl w:val="0"/>
          <w:numId w:val="1020"/>
        </w:numPr>
        <w:pStyle w:val="Compact"/>
      </w:pPr>
      <w:r>
        <w:t xml:space="preserve">Landfill Emissions = `0.17 kg * 0.5 kgCO2e/kg = 0.085 kgCO2e`</w:t>
      </w:r>
    </w:p>
    <w:p>
      <w:pPr>
        <w:pStyle w:val="FirstParagraph"/>
      </w:pPr>
      <w:r>
        <w:rPr>
          <w:bCs/>
          <w:b/>
        </w:rPr>
        <w:t xml:space="preserve">Total End-of-Life Emissions (Scope 3) = -0.51 - 1.53 + 0.085 = -1.955 kgCO2e/unit (Net benefit due to recycling)</w:t>
      </w:r>
    </w:p>
    <w:bookmarkEnd w:id="42"/>
    <w:bookmarkEnd w:id="43"/>
    <w:bookmarkStart w:id="44" w:name="Xadcd84d5ea157d98c429a19c2d0a96e96bc41d7"/>
    <w:p>
      <w:pPr>
        <w:pStyle w:val="Heading3"/>
      </w:pPr>
      <w:r>
        <w:t xml:space="preserve">Total Product Carbon Footprint (jvkwsjqlwo):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Emissions (kgCO2e/unit)</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5.800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0.6955</w:t>
            </w:r>
          </w:p>
        </w:tc>
      </w:tr>
      <w:tr>
        <w:tc>
          <w:tcPr/>
          <w:p>
            <w:pPr>
              <w:pStyle w:val="Compact"/>
              <w:jc w:val="left"/>
            </w:pPr>
            <w:r>
              <w:t xml:space="preserve">Transportation (Upstream &amp; Downstream)</w:t>
            </w:r>
          </w:p>
        </w:tc>
        <w:tc>
          <w:tcPr/>
          <w:p>
            <w:pPr>
              <w:pStyle w:val="Compact"/>
              <w:jc w:val="left"/>
            </w:pPr>
            <w:r>
              <w:t xml:space="preserve">Scope 3</w:t>
            </w:r>
          </w:p>
        </w:tc>
        <w:tc>
          <w:tcPr/>
          <w:p>
            <w:pPr>
              <w:pStyle w:val="Compact"/>
              <w:jc w:val="left"/>
            </w:pPr>
            <w:r>
              <w:t xml:space="preserve">2.696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-1.955</w:t>
            </w:r>
          </w:p>
        </w:tc>
      </w:tr>
      <w:tr>
        <w:tc>
          <w:tcPr/>
          <w:p>
            <w:pPr>
              <w:pStyle w:val="Compact"/>
              <w:jc w:val="left"/>
            </w:pPr>
            <w:r>
              <w:rPr>
                <w:bCs/>
                <w:b/>
              </w:rPr>
              <w:t xml:space="preserve">Grand Total PCF</w:t>
            </w:r>
          </w:p>
        </w:tc>
        <w:tc>
          <w:tcPr/>
          <w:p>
            <w:pPr>
              <w:pStyle w:val="Compact"/>
            </w:pPr>
          </w:p>
        </w:tc>
        <w:tc>
          <w:tcPr/>
          <w:p>
            <w:pPr>
              <w:pStyle w:val="Compact"/>
              <w:jc w:val="left"/>
            </w:pPr>
            <w:r>
              <w:rPr>
                <w:bCs/>
                <w:b/>
              </w:rPr>
              <w:t xml:space="preserve">19.7365 kgCO2e/unit</w:t>
            </w:r>
          </w:p>
        </w:tc>
      </w:tr>
    </w:tbl>
    <w:bookmarkEnd w:id="44"/>
    <w:bookmarkStart w:id="47" w:name="ghg-protocol-scope-breakdown"/>
    <w:p>
      <w:pPr>
        <w:pStyle w:val="Heading3"/>
      </w:pPr>
      <w:r>
        <w:t xml:space="preserve">GHG Protocol Scope Breakdown:</w:t>
      </w:r>
    </w:p>
    <w:p>
      <w:pPr>
        <w:numPr>
          <w:ilvl w:val="0"/>
          <w:numId w:val="1021"/>
        </w:numPr>
        <w:pStyle w:val="Compact"/>
      </w:pPr>
      <w:r>
        <w:rPr>
          <w:bCs/>
          <w:b/>
        </w:rPr>
        <w:t xml:space="preserve">Total Scope 1 Emissions:</w:t>
      </w:r>
      <w:r>
        <w:t xml:space="preserve"> </w:t>
      </w:r>
      <w:r>
        <w:t xml:space="preserve">0.0 kgCO2e/unit (No direct emissions identified from provided data)</w:t>
      </w:r>
    </w:p>
    <w:p>
      <w:pPr>
        <w:numPr>
          <w:ilvl w:val="0"/>
          <w:numId w:val="1021"/>
        </w:numPr>
        <w:pStyle w:val="Compact"/>
      </w:pPr>
      <w:r>
        <w:rPr>
          <w:bCs/>
          <w:b/>
        </w:rPr>
        <w:t xml:space="preserve">Total Scope 2 Emissions:</w:t>
      </w:r>
      <w:r>
        <w:t xml:space="preserve"> </w:t>
      </w:r>
      <w:r>
        <w:t xml:space="preserve">0.6955 kgCO2e/unit</w:t>
      </w:r>
    </w:p>
    <w:p>
      <w:pPr>
        <w:numPr>
          <w:ilvl w:val="0"/>
          <w:numId w:val="1021"/>
        </w:numPr>
        <w:pStyle w:val="Compact"/>
      </w:pPr>
      <w:r>
        <w:rPr>
          <w:bCs/>
          <w:b/>
        </w:rPr>
        <w:t xml:space="preserve">Total Scope 3 Emissions:</w:t>
      </w:r>
      <w:r>
        <w:t xml:space="preserve"> </w:t>
      </w:r>
      <w:r>
        <w:t xml:space="preserve">(5.8 + 2.696 + 12.5 - 1.955) = 19.041 kgCO2e/unit</w:t>
      </w:r>
    </w:p>
    <w:p>
      <w:pPr>
        <w:pStyle w:val="FirstParagraph"/>
      </w:pPr>
      <w:r>
        <w:rPr>
          <w:bCs/>
          <w:b/>
        </w:rPr>
        <w:t xml:space="preserve">Overall PCF = Scope 1 + Scope 2 + Scope 3 = 0.0 + 0.6955 + 19.041 = 19.7365 kgCO2e/unit</w:t>
      </w:r>
    </w:p>
    <w:bookmarkStart w:id="45" w:name="lsr-update-application"/>
    <w:p>
      <w:pPr>
        <w:pStyle w:val="Heading4"/>
      </w:pPr>
      <w:r>
        <w:t xml:space="preserve">2026 LSR Update Application:</w:t>
      </w:r>
    </w:p>
    <w:p>
      <w:pPr>
        <w:pStyle w:val="FirstParagraph"/>
      </w:pPr>
      <w:r>
        <w:t xml:space="preserve">The Land Sector and Removals (LSR) Standard, effective January 1, 2027, provides specific guidance for accounting for emissions and removals from agricultural and land use activities. While jvkwsjqlwo may not have direct land-use impacts, its raw materials may originate from land-intensive sectors (e.g., metals requiring mining, plastics from agriculture-fed chemical processes). In a full LSR-compliant assessment, upstream material emissions would be scrutinized to identify and quantify any land-use change (LUC) or land management emissions/removals associated with their production. For this report, given the system boundary and provided BOM structure, these are implicitly captured within the material emission factors. However, for future reports, a more granular analysis following LSR guidance would disaggregate these impacts. The LSR Standard also allows for reporting technological CO2 removals and provides requirements for companies with significant land sector activities.</w:t>
      </w:r>
    </w:p>
    <w:bookmarkEnd w:id="45"/>
    <w:bookmarkStart w:id="46" w:name="scope-3-compliance-2026-requirements"/>
    <w:p>
      <w:pPr>
        <w:pStyle w:val="Heading4"/>
      </w:pPr>
      <w:r>
        <w:t xml:space="preserve">Scope 3 Compliance (2026 Requirements):</w:t>
      </w:r>
    </w:p>
    <w:p>
      <w:pPr>
        <w:pStyle w:val="FirstParagraph"/>
      </w:pPr>
      <w:r>
        <w:t xml:space="preserve">The 2026 GHG Protocol Scope 3 updates emphasize stricter requirements, including a mandatory 95% coverage for total relevant Scope 3 emissions. This analysis demonstrates comprehensive coverage across upstream (materials, transport) and downstream (use phase, EoL) categories, aiming to meet or exceed this threshold. The disaggregation of data by source type (primary vs. secondary) will be crucial for full compliance. Companies must now account for at least 95% of total required scope 3 emissions.</w:t>
      </w:r>
    </w:p>
    <w:p>
      <w:r>
        <w:pict>
          <v:rect style="width:0;height:1.5pt" o:hralign="center" o:hrstd="t" o:hr="t"/>
        </w:pict>
      </w:r>
    </w:p>
    <w:bookmarkEnd w:id="46"/>
    <w:bookmarkEnd w:id="47"/>
    <w:bookmarkEnd w:id="48"/>
    <w:bookmarkStart w:id="51" w:name="review-report"/>
    <w:p>
      <w:pPr>
        <w:pStyle w:val="Heading2"/>
      </w:pPr>
      <w:r>
        <w:t xml:space="preserve">5. Review &amp; Report</w:t>
      </w:r>
    </w:p>
    <w:p>
      <w:pPr>
        <w:pStyle w:val="FirstParagraph"/>
      </w:pPr>
      <w:r>
        <w:t xml:space="preserve">The PCF analysis of jvkwsjqlwo reveals the following key insights and areas for potential improvement:</w:t>
      </w:r>
    </w:p>
    <w:bookmarkStart w:id="49" w:name="emission-hotspots"/>
    <w:p>
      <w:pPr>
        <w:pStyle w:val="Heading3"/>
      </w:pPr>
      <w:r>
        <w:t xml:space="preserve">Emission Hotspots:</w:t>
      </w:r>
    </w:p>
    <w:p>
      <w:pPr>
        <w:pStyle w:val="FirstParagraph"/>
      </w:pPr>
      <w:r>
        <w:t xml:space="preserve">Based on the illustrative calculations, the most significant emission hotspots for jvkwsjqlwo are:</w:t>
      </w:r>
    </w:p>
    <w:p>
      <w:pPr>
        <w:numPr>
          <w:ilvl w:val="0"/>
          <w:numId w:val="1022"/>
        </w:numPr>
        <w:pStyle w:val="Compact"/>
      </w:pPr>
      <w:r>
        <w:rPr>
          <w:bCs/>
          <w:b/>
        </w:rPr>
        <w:t xml:space="preserve">Use Phase (Scope 3):</w:t>
      </w:r>
      <w:r>
        <w:t xml:space="preserve"> </w:t>
      </w:r>
      <w:r>
        <w:t xml:space="preserve">12.5 kgCO2e (63.3% of total PCF). This is the dominant contributor, primarily due to the energy consumption over the product\'s lifespan.</w:t>
      </w:r>
    </w:p>
    <w:p>
      <w:pPr>
        <w:numPr>
          <w:ilvl w:val="0"/>
          <w:numId w:val="1022"/>
        </w:numPr>
        <w:pStyle w:val="Compact"/>
      </w:pPr>
      <w:r>
        <w:rPr>
          <w:bCs/>
          <w:b/>
        </w:rPr>
        <w:t xml:space="preserve">Materials Acquisition &amp; Pre-processing (Scope 3):</w:t>
      </w:r>
      <w:r>
        <w:t xml:space="preserve"> </w:t>
      </w:r>
      <w:r>
        <w:t xml:space="preserve">5.8 kgCO2e (29.4% of total PCF). The embodied emissions in raw materials, particularly the aluminum casing and circuit board, represent a substantial portion.</w:t>
      </w:r>
    </w:p>
    <w:p>
      <w:pPr>
        <w:numPr>
          <w:ilvl w:val="0"/>
          <w:numId w:val="1022"/>
        </w:numPr>
        <w:pStyle w:val="Compact"/>
      </w:pPr>
      <w:r>
        <w:rPr>
          <w:bCs/>
          <w:b/>
        </w:rPr>
        <w:t xml:space="preserve">Transportation (Scope 3):</w:t>
      </w:r>
      <w:r>
        <w:t xml:space="preserve"> </w:t>
      </w:r>
      <w:r>
        <w:t xml:space="preserve">2.696 kgCO2e (13.7% of total PCF). Last-mile delivery emerges as a significant contributor within the transport category due to the per-km emission factor for vans.</w:t>
      </w:r>
    </w:p>
    <w:bookmarkEnd w:id="49"/>
    <w:bookmarkStart w:id="50"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While the Detailed Bill of Materials (hnflhlzg) provided specific values, several parameters (e.g., transport distances, energy consumption in use, recyclability rates, and associated emission factors) were illustrative examples based on general industry averages where specific numerical values were not supplied for the placeholder strings. For a higher accuracy assessment, primary data from suppliers, logistics providers, and energy consumption meters would be essential.</w:t>
      </w:r>
    </w:p>
    <w:p>
      <w:pPr>
        <w:pStyle w:val="BodyText"/>
      </w:pPr>
      <w:r>
        <w:t xml:space="preserve">The application of the 2026 LSR Standard for land use and removals and the 95% Scope 3 coverage requirement has been addressed conceptually and through comprehensive category inclusion. Actual quantification of LSR impacts would require detailed land-use data specific to the raw material sourcing. The GHG Protocol is continually evolving, and ongoing data collection and methodology updates will be necessary to maintain full compliance with future revisions.</w:t>
      </w:r>
    </w:p>
    <w:p>
      <w:pPr>
        <w:pStyle w:val="BodyText"/>
      </w:pPr>
      <w:r>
        <w:t xml:space="preserve">This report serves as a foundational assessment, highlighting key areas for whlfnplndo to focus its decarbonization efforts. Further refinement with more granular, product-specific, and supplier-specific data will enhance the precision of the PCF and support targeted sustainability initiatives.</w:t>
      </w:r>
    </w:p>
    <w:p>
      <w:r>
        <w:pict>
          <v:rect style="width:0;height:1.5pt" o:hralign="center" o:hrstd="t" o:hr="t"/>
        </w:pict>
      </w:r>
    </w:p>
    <w:p>
      <w:pPr>
        <w:pStyle w:val="FirstParagraph"/>
      </w:pPr>
      <w:r>
        <w:t xml:space="preserve">Confidential - Internal Use Only | Page</w:t>
      </w:r>
      <w:r>
        <w:t xml:space="preserve"> </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jvkwsjqlwo</dc:title>
  <dc:creator/>
  <dc:description>High-detail Product Carbon Footprint (PCF) analysis report for product jvkwsjqlwo, conducted by Senior Sustainability Consultant twsrvuxxtl for whlfnplndo, adhering to GHG Protocol and 2026 LSR updates.</dc:description>
  <dc:language>en</dc:language>
  <cp:keywords/>
  <dcterms:created xsi:type="dcterms:W3CDTF">2026-07-15T20:12:44Z</dcterms:created>
  <dcterms:modified xsi:type="dcterms:W3CDTF">2026-07-15T20:12:44Z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