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juvedpjjpi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juvedpjjpi</w:t>
      </w:r>
    </w:p>
    <w:p>
      <w:pPr>
        <w:pStyle w:val="BodyText"/>
      </w:pPr>
      <w:r>
        <w:rPr>
          <w:bCs/>
          <w:b/>
        </w:rPr>
        <w:t xml:space="preserve">Company:</w:t>
      </w:r>
      <w:r>
        <w:t xml:space="preserve"> </w:t>
      </w:r>
      <w:r>
        <w:t xml:space="preserve">spenktjvpw</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ndutyihxdj</w:t>
      </w:r>
    </w:p>
    <w:p>
      <w:pPr>
        <w:pStyle w:val="BodyText"/>
      </w:pPr>
      <w:r>
        <w:t xml:space="preserve">This report is generated based on available data and industry standards, providing an estimated product carbon footprint. Actual emissions may vary.</w:t>
      </w:r>
    </w:p>
    <w:bookmarkEnd w:id="20"/>
    <w:bookmarkStart w:id="45" w:name="Xfe8d41149039a47bcd3d67f679a955246bfb051"/>
    <w:p>
      <w:pPr>
        <w:pStyle w:val="Heading1"/>
      </w:pPr>
      <w:r>
        <w:t xml:space="preserve">Product Carbon Footprint Analysis for juvedpjjpi</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juvedpjjpi</w:t>
      </w:r>
      <w:r>
        <w:t xml:space="preserve">, manufactured by</w:t>
      </w:r>
      <w:r>
        <w:t xml:space="preserve"> </w:t>
      </w:r>
      <w:r>
        <w:rPr>
          <w:bCs/>
          <w:b/>
        </w:rPr>
        <w:t xml:space="preserve">spenktjvpw</w:t>
      </w:r>
      <w:r>
        <w:t xml:space="preserve">. The analysis was conducted by</w:t>
      </w:r>
      <w:r>
        <w:t xml:space="preserve"> </w:t>
      </w:r>
      <w:r>
        <w:rPr>
          <w:bCs/>
          <w:b/>
        </w:rPr>
        <w:t xml:space="preserve">ndutyihxdj</w:t>
      </w:r>
      <w:r>
        <w:t xml:space="preserve">, Senior Sustainability Consultant, adhering strictly to the GHG Protocol. The system boundary for the primary PCF is \'factory-gate\', with additional downstream Scope 3 analysis for the use phase and end-of-life to provide a comprehensive cradle-to-grave perspective. This assessment incorporates specific data for materials, production energy, transport, product lifespan, and end-of-life scenarios, applying the 2026 Land Sector and Removals (LSR) Standard where applicable and ensuring at least 95% coverage for Scope 3 reporting.</w:t>
      </w:r>
    </w:p>
    <w:p>
      <w:r>
        <w:pict>
          <v:rect style="width:0;height:1.5pt" o:hralign="center" o:hrstd="t" o:hr="t"/>
        </w:pict>
      </w:r>
    </w:p>
    <w:bookmarkEnd w:id="21"/>
    <w:bookmarkStart w:id="26"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juvedpjjpi</w:t>
      </w:r>
      <w:r>
        <w:t xml:space="preserve">. This unit serves as the reference basis for quantifying all relevant environmental flows and impacts throughout the product\'s life cycle.</w:t>
      </w:r>
    </w:p>
    <w:bookmarkEnd w:id="22"/>
    <w:bookmarkStart w:id="23" w:name="system-boundaries"/>
    <w:p>
      <w:pPr>
        <w:pStyle w:val="Heading3"/>
      </w:pPr>
      <w:r>
        <w:t xml:space="preserve">1.2. System Boundaries</w:t>
      </w:r>
    </w:p>
    <w:p>
      <w:pPr>
        <w:pStyle w:val="FirstParagraph"/>
      </w:pPr>
      <w:r>
        <w:t xml:space="preserve">The primary system boundary for the Product Carbon Footprint is defined as</w:t>
      </w:r>
      <w:r>
        <w:t xml:space="preserve"> </w:t>
      </w:r>
      <w:r>
        <w:rPr>
          <w:bCs/>
          <w:b/>
        </w:rPr>
        <w:t xml:space="preserve">factory_gate</w:t>
      </w:r>
      <w:r>
        <w:t xml:space="preserve">. This encompasses all emissions from raw material extraction, material processing, manufacturing, and transport up to the point the finished product leaves the factory gate. For a comprehensive "cradle-to-grave" understanding, the analysis also includes downstream Scope 3 emissions related to product distribution (last-mile), the use phase, and end-of-life management, as requested by the parameters.</w:t>
      </w:r>
    </w:p>
    <w:p>
      <w:pPr>
        <w:numPr>
          <w:ilvl w:val="0"/>
          <w:numId w:val="1001"/>
        </w:numPr>
        <w:pStyle w:val="Compact"/>
      </w:pPr>
      <w:r>
        <w:rPr>
          <w:bCs/>
          <w:b/>
        </w:rPr>
        <w:t xml:space="preserve">Included Stages:</w:t>
      </w:r>
      <w:r>
        <w:t xml:space="preserve"> </w:t>
      </w:r>
      <w:r>
        <w:t xml:space="preserve">Raw material acquisition, material processing, manufacturing (including energy), inbound logistics, outbound logistics (to distribution center, and last-mile to customer), product use, and end-of-life treatment.</w:t>
      </w:r>
    </w:p>
    <w:p>
      <w:pPr>
        <w:numPr>
          <w:ilvl w:val="0"/>
          <w:numId w:val="1001"/>
        </w:numPr>
        <w:pStyle w:val="Compact"/>
      </w:pPr>
      <w:r>
        <w:rPr>
          <w:bCs/>
          <w:b/>
        </w:rPr>
        <w:t xml:space="preserve">Excluded Stages (from primary factory-gate boundary, but included in full life cycle analysis):</w:t>
      </w:r>
      <w:r>
        <w:t xml:space="preserve"> </w:t>
      </w:r>
      <w:r>
        <w:t xml:space="preserve">Product use, end-of-life management.</w:t>
      </w:r>
    </w:p>
    <w:bookmarkEnd w:id="23"/>
    <w:bookmarkStart w:id="24" w:name="geographic-scope"/>
    <w:p>
      <w:pPr>
        <w:pStyle w:val="Heading3"/>
      </w:pPr>
      <w:r>
        <w:t xml:space="preserve">1.3. Geographic Scope</w:t>
      </w:r>
    </w:p>
    <w:p>
      <w:pPr>
        <w:pStyle w:val="FirstParagraph"/>
      </w:pPr>
      <w:r>
        <w:t xml:space="preserve">The final production country for</w:t>
      </w:r>
      <w:r>
        <w:t xml:space="preserve"> </w:t>
      </w:r>
      <w:r>
        <w:rPr>
          <w:bCs/>
          <w:b/>
        </w:rPr>
        <w:t xml:space="preserve">juvedpjjpi</w:t>
      </w:r>
      <w:r>
        <w:t xml:space="preserve"> </w:t>
      </w:r>
      <w:r>
        <w:t xml:space="preserve">is</w:t>
      </w:r>
      <w:r>
        <w:t xml:space="preserve"> </w:t>
      </w:r>
      <w:r>
        <w:rPr>
          <w:bCs/>
          <w:b/>
        </w:rPr>
        <w:t xml:space="preserve">China</w:t>
      </w:r>
      <w:r>
        <w:t xml:space="preserve">. The supply chain focus is primarily</w:t>
      </w:r>
      <w:r>
        <w:t xml:space="preserve"> </w:t>
      </w:r>
      <w:r>
        <w:rPr>
          <w:bCs/>
          <w:b/>
        </w:rPr>
        <w:t xml:space="preserve">Europe Focused</w:t>
      </w:r>
      <w:r>
        <w:t xml:space="preserve">, indicating that material sourcing and upstream logistics largely originate from or pass through Europe before reaching the final production facility in China.</w:t>
      </w:r>
    </w:p>
    <w:bookmarkEnd w:id="24"/>
    <w:bookmarkStart w:id="25" w:name="allocation"/>
    <w:p>
      <w:pPr>
        <w:pStyle w:val="Heading3"/>
      </w:pPr>
      <w:r>
        <w:t xml:space="preserve">1.4. Allocation</w:t>
      </w:r>
    </w:p>
    <w:p>
      <w:pPr>
        <w:pStyle w:val="FirstParagraph"/>
      </w:pPr>
      <w:r>
        <w:t xml:space="preserve">Emissions are allocated to the functional unit based on mass and energy consumption attributable to</w:t>
      </w:r>
      <w:r>
        <w:t xml:space="preserve"> </w:t>
      </w:r>
      <w:r>
        <w:rPr>
          <w:bCs/>
          <w:b/>
        </w:rPr>
        <w:t xml:space="preserve">juvedpjjpi</w:t>
      </w:r>
      <w:r>
        <w:t xml:space="preserve">. Co-product and recycling allocations follow the GHG Protocol\'s guidance, applying system expansion or avoided burden approaches where appropriate for end-of-life scenarios, particularly with considerations for the 2026 LSR Standard.</w:t>
      </w:r>
    </w:p>
    <w:p>
      <w:r>
        <w:pict>
          <v:rect style="width:0;height:1.5pt" o:hralign="center" o:hrstd="t" o:hr="t"/>
        </w:pict>
      </w:r>
    </w:p>
    <w:bookmarkEnd w:id="25"/>
    <w:bookmarkEnd w:id="26"/>
    <w:bookmarkStart w:id="32" w:name="map-lifecycle-3.-data-collection"/>
    <w:p>
      <w:pPr>
        <w:pStyle w:val="Heading2"/>
      </w:pPr>
      <w:r>
        <w:t xml:space="preserve">2. Map Lifecycle &amp; 3. Data Collection</w:t>
      </w:r>
    </w:p>
    <w:p>
      <w:pPr>
        <w:pStyle w:val="FirstParagraph"/>
      </w:pPr>
      <w:r>
        <w:t xml:space="preserve">The lifecycle of</w:t>
      </w:r>
      <w:r>
        <w:t xml:space="preserve"> </w:t>
      </w:r>
      <w:r>
        <w:rPr>
          <w:bCs/>
          <w:b/>
        </w:rPr>
        <w:t xml:space="preserve">juvedpjjpi</w:t>
      </w:r>
      <w:r>
        <w:t xml:space="preserve"> </w:t>
      </w:r>
      <w:r>
        <w:t xml:space="preserve">has been mapped to identify all relevant stages contributing to its carbon footprint. Data was collected using a combination of primary (specific product data) and secondary (industry-average emission factors) sources. This section details the material and energy inputs across the product\'s lifecycle.</w:t>
      </w:r>
    </w:p>
    <w:bookmarkStart w:id="27" w:name="X7190cdca02f0681bc3514a639133689ce8888ab"/>
    <w:p>
      <w:pPr>
        <w:pStyle w:val="Heading3"/>
      </w:pPr>
      <w:r>
        <w:t xml:space="preserve">3.1. Detailed Bill of Materials (BOM) for hjlrwush</w:t>
      </w:r>
    </w:p>
    <w:p>
      <w:pPr>
        <w:pStyle w:val="FirstParagraph"/>
      </w:pPr>
      <w:r>
        <w:t xml:space="preserve">The following table provides the detailed Bill of Materials (BOM) for</w:t>
      </w:r>
      <w:r>
        <w:t xml:space="preserve"> </w:t>
      </w:r>
      <w:r>
        <w:rPr>
          <w:bCs/>
          <w:b/>
        </w:rPr>
        <w:t xml:space="preserve">juvedpjjpi</w:t>
      </w:r>
      <w:r>
        <w:t xml:space="preserve">, including quantities, units, and estimated emission factors, leading to the total carbon impact for each component. These values are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Main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1.000</w:t>
            </w:r>
          </w:p>
        </w:tc>
      </w:tr>
      <w:tr>
        <w:tc>
          <w:tcPr/>
          <w:p>
            <w:pPr>
              <w:pStyle w:val="Compact"/>
              <w:jc w:val="left"/>
            </w:pPr>
            <w:r>
              <w:t xml:space="preserve">3</w:t>
            </w:r>
          </w:p>
        </w:tc>
        <w:tc>
          <w:tcPr/>
          <w:p>
            <w:pPr>
              <w:pStyle w:val="Compact"/>
              <w:jc w:val="left"/>
            </w:pPr>
            <w:r>
              <w:t xml:space="preserve">Battery</w:t>
            </w:r>
          </w:p>
        </w:tc>
        <w:tc>
          <w:tcPr/>
          <w:p>
            <w:pPr>
              <w:pStyle w:val="Compact"/>
              <w:jc w:val="left"/>
            </w:pPr>
            <w:r>
              <w:t xml:space="preserve">Lithium-ion</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3.000</w:t>
            </w:r>
          </w:p>
        </w:tc>
      </w:tr>
      <w:tr>
        <w:tc>
          <w:tcPr/>
          <w:p>
            <w:pPr>
              <w:pStyle w:val="Compact"/>
              <w:jc w:val="left"/>
            </w:pPr>
            <w:r>
              <w:t xml:space="preserve">4</w:t>
            </w:r>
          </w:p>
        </w:tc>
        <w:tc>
          <w:tcPr/>
          <w:p>
            <w:pPr>
              <w:pStyle w:val="Compact"/>
              <w:jc w:val="left"/>
            </w:pPr>
            <w:r>
              <w:t xml:space="preserve">Wires/Connectors</w:t>
            </w:r>
          </w:p>
        </w:tc>
        <w:tc>
          <w:tcPr/>
          <w:p>
            <w:pPr>
              <w:pStyle w:val="Compact"/>
              <w:jc w:val="left"/>
            </w:pPr>
            <w:r>
              <w:t xml:space="preserve">Metal/Plastic</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0.150</w:t>
            </w:r>
          </w:p>
        </w:tc>
      </w:tr>
      <w:tr>
        <w:tc>
          <w:tcPr/>
          <w:p>
            <w:pPr>
              <w:pStyle w:val="Compact"/>
              <w:jc w:val="left"/>
            </w:pPr>
            <w:r>
              <w:t xml:space="preserve">5</w:t>
            </w:r>
          </w:p>
        </w:tc>
        <w:tc>
          <w:tcPr/>
          <w:p>
            <w:pPr>
              <w:pStyle w:val="Compact"/>
              <w:jc w:val="left"/>
            </w:pPr>
            <w:r>
              <w:t xml:space="preserve">Packaging</w:t>
            </w:r>
          </w:p>
        </w:tc>
        <w:tc>
          <w:tcPr/>
          <w:p>
            <w:pPr>
              <w:pStyle w:val="Compact"/>
              <w:jc w:val="left"/>
            </w:pPr>
            <w:r>
              <w:t xml:space="preserve">Cardboard</w:t>
            </w:r>
          </w:p>
        </w:tc>
        <w:tc>
          <w:tcPr/>
          <w:p>
            <w:pPr>
              <w:pStyle w:val="Compact"/>
              <w:jc w:val="left"/>
            </w:pPr>
            <w:r>
              <w:t xml:space="preserve">Forming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0.016</w:t>
            </w:r>
          </w:p>
        </w:tc>
      </w:tr>
      <w:tr>
        <w:tc>
          <w:tcPr>
            <w:gridSpan w:val="7"/>
          </w:tcPr>
          <w:p>
            <w:pPr>
              <w:pStyle w:val="Compact"/>
              <w:jc w:val="right"/>
            </w:pPr>
            <w:r>
              <w:t xml:space="preserve">Total Material Carbon Impact:</w:t>
            </w:r>
          </w:p>
        </w:tc>
        <w:tc>
          <w:tcPr/>
          <w:p>
            <w:pPr>
              <w:pStyle w:val="Compact"/>
              <w:jc w:val="left"/>
            </w:pPr>
            <w:r>
              <w:rPr>
                <w:bCs/>
                <w:b/>
              </w:rPr>
              <w:t xml:space="preserve">5.416 kg CO2e</w:t>
            </w:r>
          </w:p>
        </w:tc>
      </w:tr>
    </w:tbl>
    <w:bookmarkEnd w:id="27"/>
    <w:bookmarkStart w:id="28" w:name="energy-inputs-production-phase"/>
    <w:p>
      <w:pPr>
        <w:pStyle w:val="Heading3"/>
      </w:pPr>
      <w:r>
        <w:t xml:space="preserve">3.2. Energy Inputs (Production Phase)</w:t>
      </w:r>
    </w:p>
    <w:p>
      <w:pPr>
        <w:pStyle w:val="FirstParagraph"/>
      </w:pPr>
      <w:r>
        <w:t xml:space="preserve">The production phase energy consumption is a significant contributor to the PCF. The following specific data has been incorporated:</w:t>
      </w:r>
    </w:p>
    <w:p>
      <w:pPr>
        <w:numPr>
          <w:ilvl w:val="0"/>
          <w:numId w:val="1002"/>
        </w:numPr>
        <w:pStyle w:val="Compact"/>
      </w:pPr>
      <w:r>
        <w:rPr>
          <w:bCs/>
          <w:b/>
        </w:rPr>
        <w:t xml:space="preserve">Renewable Energy Usage (jgkpftrggt):</w:t>
      </w:r>
      <w:r>
        <w:t xml:space="preserve"> </w:t>
      </w:r>
      <w:r>
        <w:t xml:space="preserve">60% of the electricity used in the production facility is sourced from renewable energy.</w:t>
      </w:r>
    </w:p>
    <w:p>
      <w:pPr>
        <w:numPr>
          <w:ilvl w:val="0"/>
          <w:numId w:val="1002"/>
        </w:numPr>
        <w:pStyle w:val="Compact"/>
      </w:pPr>
      <w:r>
        <w:rPr>
          <w:bCs/>
          <w:b/>
        </w:rPr>
        <w:t xml:space="preserve">Energy Intensity (kWh/unit) (tfghxpxqgy):</w:t>
      </w:r>
      <w:r>
        <w:t xml:space="preserve"> </w:t>
      </w:r>
      <w:r>
        <w:t xml:space="preserve">8.5 kWh per unit of</w:t>
      </w:r>
      <w:r>
        <w:t xml:space="preserve"> </w:t>
      </w:r>
      <w:r>
        <w:rPr>
          <w:bCs/>
          <w:b/>
        </w:rPr>
        <w:t xml:space="preserve">juvedpjjpi</w:t>
      </w:r>
      <w:r>
        <w:t xml:space="preserve">.</w:t>
      </w:r>
    </w:p>
    <w:p>
      <w:pPr>
        <w:numPr>
          <w:ilvl w:val="0"/>
          <w:numId w:val="1002"/>
        </w:numPr>
        <w:pStyle w:val="Compact"/>
      </w:pPr>
      <w:r>
        <w:rPr>
          <w:bCs/>
          <w:b/>
        </w:rPr>
        <w:t xml:space="preserve">Grid Emission Factor (China, non-renewable portion):</w:t>
      </w:r>
      <w:r>
        <w:t xml:space="preserve"> </w:t>
      </w:r>
      <w:r>
        <w:t xml:space="preserve">An industry-average emission factor of 0.7 kg CO2e/kWh has been applied for the non-renewable electricity consumption in China.</w:t>
      </w:r>
    </w:p>
    <w:bookmarkEnd w:id="28"/>
    <w:bookmarkStart w:id="29" w:name="logistics-data-supply-chain"/>
    <w:p>
      <w:pPr>
        <w:pStyle w:val="Heading3"/>
      </w:pPr>
      <w:r>
        <w:t xml:space="preserve">3.3. Logistics Data (Supply Chain)</w:t>
      </w:r>
    </w:p>
    <w:p>
      <w:pPr>
        <w:pStyle w:val="FirstParagraph"/>
      </w:pPr>
      <w:r>
        <w:t xml:space="preserve">Logistics play a crucial role in the overall footprint. The following specific transport data has been integrated into the analysis:</w:t>
      </w:r>
    </w:p>
    <w:p>
      <w:pPr>
        <w:numPr>
          <w:ilvl w:val="0"/>
          <w:numId w:val="1003"/>
        </w:numPr>
        <w:pStyle w:val="Compact"/>
      </w:pPr>
      <w:r>
        <w:rPr>
          <w:bCs/>
          <w:b/>
        </w:rPr>
        <w:t xml:space="preserve">Upstream Transport Mode (Select Mode):</w:t>
      </w:r>
      <w:r>
        <w:t xml:space="preserve"> </w:t>
      </w:r>
      <w:r>
        <w:t xml:space="preserve">Road freight (Heavy Goods Vehicle &gt; 16t).</w:t>
      </w:r>
    </w:p>
    <w:p>
      <w:pPr>
        <w:numPr>
          <w:ilvl w:val="0"/>
          <w:numId w:val="1003"/>
        </w:numPr>
        <w:pStyle w:val="Compact"/>
      </w:pPr>
      <w:r>
        <w:rPr>
          <w:bCs/>
          <w:b/>
        </w:rPr>
        <w:t xml:space="preserve">Upstream Transport Distance (yhseeqtfdx):</w:t>
      </w:r>
      <w:r>
        <w:t xml:space="preserve"> </w:t>
      </w:r>
      <w:r>
        <w:t xml:space="preserve">An average of 1500 km for raw material and component transportation from Europe to the production facility in China.</w:t>
      </w:r>
    </w:p>
    <w:p>
      <w:pPr>
        <w:numPr>
          <w:ilvl w:val="0"/>
          <w:numId w:val="1003"/>
        </w:numPr>
        <w:pStyle w:val="Compact"/>
      </w:pPr>
      <w:r>
        <w:rPr>
          <w:bCs/>
          <w:b/>
        </w:rPr>
        <w:t xml:space="preserve">Last-Mile Delivery Channel (Delivery Type):</w:t>
      </w:r>
      <w:r>
        <w:t xml:space="preserve"> </w:t>
      </w:r>
      <w:r>
        <w:t xml:space="preserve">Light commercial vehicle (van).</w:t>
      </w:r>
    </w:p>
    <w:p>
      <w:pPr>
        <w:numPr>
          <w:ilvl w:val="0"/>
          <w:numId w:val="1003"/>
        </w:numPr>
        <w:pStyle w:val="Compact"/>
      </w:pPr>
      <w:r>
        <w:rPr>
          <w:bCs/>
          <w:b/>
        </w:rPr>
        <w:t xml:space="preserve">Last-Mile Delivery Distance:</w:t>
      </w:r>
      <w:r>
        <w:t xml:space="preserve"> </w:t>
      </w:r>
      <w:r>
        <w:t xml:space="preserve">An estimated average of 100 km from the distribution center to the end customer.</w:t>
      </w:r>
    </w:p>
    <w:p>
      <w:pPr>
        <w:numPr>
          <w:ilvl w:val="0"/>
          <w:numId w:val="1003"/>
        </w:numPr>
        <w:pStyle w:val="Compact"/>
      </w:pPr>
      <w:r>
        <w:rPr>
          <w:bCs/>
          <w:b/>
        </w:rPr>
        <w:t xml:space="preserve">Transport Emission Factors:</w:t>
      </w:r>
      <w:r>
        <w:t xml:space="preserve"> </w:t>
      </w:r>
      <w:r>
        <w:t xml:space="preserve">Industry-standard emission factors (e.g., HGV &gt;16t: 0.02 kg CO2e/tkm; Light Commercial Van: 0.15 kg CO2e/tkm) have been used.</w:t>
      </w:r>
    </w:p>
    <w:bookmarkEnd w:id="29"/>
    <w:bookmarkStart w:id="30" w:name="use-phase-data"/>
    <w:p>
      <w:pPr>
        <w:pStyle w:val="Heading3"/>
      </w:pPr>
      <w:r>
        <w:t xml:space="preserve">3.4. Use Phase Data</w:t>
      </w:r>
    </w:p>
    <w:p>
      <w:pPr>
        <w:pStyle w:val="FirstParagraph"/>
      </w:pPr>
      <w:r>
        <w:t xml:space="preserve">The use phase emissions are calculated based on the product\'s lifespan and energy consumption during its operational life:</w:t>
      </w:r>
    </w:p>
    <w:p>
      <w:pPr>
        <w:numPr>
          <w:ilvl w:val="0"/>
          <w:numId w:val="1004"/>
        </w:numPr>
        <w:pStyle w:val="Compact"/>
      </w:pPr>
      <w:r>
        <w:rPr>
          <w:bCs/>
          <w:b/>
        </w:rPr>
        <w:t xml:space="preserve">Product Lifespan (qodmsgrkij):</w:t>
      </w:r>
      <w:r>
        <w:t xml:space="preserve"> </w:t>
      </w:r>
      <w:r>
        <w:t xml:space="preserve">7 years.</w:t>
      </w:r>
    </w:p>
    <w:p>
      <w:pPr>
        <w:numPr>
          <w:ilvl w:val="0"/>
          <w:numId w:val="1004"/>
        </w:numPr>
        <w:pStyle w:val="Compact"/>
      </w:pPr>
      <w:r>
        <w:rPr>
          <w:bCs/>
          <w:b/>
        </w:rPr>
        <w:t xml:space="preserve">Energy Consumption in Use (vxeheyuyym):</w:t>
      </w:r>
      <w:r>
        <w:t xml:space="preserve"> </w:t>
      </w:r>
      <w:r>
        <w:t xml:space="preserve">15 kWh per year.</w:t>
      </w:r>
    </w:p>
    <w:p>
      <w:pPr>
        <w:numPr>
          <w:ilvl w:val="0"/>
          <w:numId w:val="1004"/>
        </w:numPr>
        <w:pStyle w:val="Compact"/>
      </w:pPr>
      <w:r>
        <w:rPr>
          <w:bCs/>
          <w:b/>
        </w:rPr>
        <w:t xml:space="preserve">Assumed Grid Mix (Europe, for user):</w:t>
      </w:r>
      <w:r>
        <w:t xml:space="preserve"> </w:t>
      </w:r>
      <w:r>
        <w:t xml:space="preserve">An industry-average grid emission factor of 0.3 kg CO2e/kWh has been applied for the electricity consumed during the product\'s use phase.</w:t>
      </w:r>
    </w:p>
    <w:bookmarkEnd w:id="30"/>
    <w:bookmarkStart w:id="31" w:name="end-of-life-eol-scenarios"/>
    <w:p>
      <w:pPr>
        <w:pStyle w:val="Heading3"/>
      </w:pPr>
      <w:r>
        <w:t xml:space="preserve">3.5. End-of-Life (EoL) Scenarios</w:t>
      </w:r>
    </w:p>
    <w:p>
      <w:pPr>
        <w:pStyle w:val="FirstParagraph"/>
      </w:pPr>
      <w:r>
        <w:t xml:space="preserve">End-of-Life scenarios are crucial for a holistic PCF.</w:t>
      </w:r>
    </w:p>
    <w:p>
      <w:pPr>
        <w:numPr>
          <w:ilvl w:val="0"/>
          <w:numId w:val="1005"/>
        </w:numPr>
        <w:pStyle w:val="Compact"/>
      </w:pPr>
      <w:r>
        <w:rPr>
          <w:bCs/>
          <w:b/>
        </w:rPr>
        <w:t xml:space="preserve">Recyclability Percentage (mlysntwjvu):</w:t>
      </w:r>
      <w:r>
        <w:t xml:space="preserve"> </w:t>
      </w:r>
      <w:r>
        <w:t xml:space="preserve">75% of</w:t>
      </w:r>
      <w:r>
        <w:t xml:space="preserve"> </w:t>
      </w:r>
      <w:r>
        <w:rPr>
          <w:bCs/>
          <w:b/>
        </w:rPr>
        <w:t xml:space="preserve">juvedpjjpi</w:t>
      </w:r>
      <w:r>
        <w:t xml:space="preserve"> </w:t>
      </w:r>
      <w:r>
        <w:t xml:space="preserve">is designed to be recyclable.</w:t>
      </w:r>
    </w:p>
    <w:p>
      <w:pPr>
        <w:numPr>
          <w:ilvl w:val="0"/>
          <w:numId w:val="1005"/>
        </w:numPr>
        <w:pStyle w:val="Compact"/>
      </w:pPr>
      <w:r>
        <w:rPr>
          <w:bCs/>
          <w:b/>
        </w:rPr>
        <w:t xml:space="preserve">Circular/Take-back Programs (svmmigqyju):</w:t>
      </w:r>
      <w:r>
        <w:t xml:space="preserve"> </w:t>
      </w:r>
      <w:r>
        <w:rPr>
          <w:bCs/>
          <w:b/>
        </w:rPr>
        <w:t xml:space="preserve">spenktjvpw</w:t>
      </w:r>
      <w:r>
        <w:t xml:space="preserve"> </w:t>
      </w:r>
      <w:r>
        <w:t xml:space="preserve">has an active take-back program for key components, aiming to maximize material recovery and reduce waste, thus reducing the reliance on virgin materials and decreasing overall EoL impact.</w:t>
      </w:r>
    </w:p>
    <w:p>
      <w:pPr>
        <w:numPr>
          <w:ilvl w:val="0"/>
          <w:numId w:val="1005"/>
        </w:numPr>
        <w:pStyle w:val="Compact"/>
      </w:pPr>
      <w:r>
        <w:rPr>
          <w:bCs/>
          <w:b/>
        </w:rPr>
        <w:t xml:space="preserve">Waste Emission Factor:</w:t>
      </w:r>
      <w:r>
        <w:t xml:space="preserve"> </w:t>
      </w:r>
      <w:r>
        <w:t xml:space="preserve">A simplified emission factor of 1.0 kg CO2e/kg has been used for the non-recycled portion going to landfill/incineration.</w:t>
      </w:r>
    </w:p>
    <w:p>
      <w:r>
        <w:pict>
          <v:rect style="width:0;height:1.5pt" o:hralign="center" o:hrstd="t" o:hr="t"/>
        </w:pict>
      </w:r>
    </w:p>
    <w:bookmarkEnd w:id="31"/>
    <w:bookmarkEnd w:id="32"/>
    <w:bookmarkStart w:id="39" w:name="emission-calculation-ghg-protocol"/>
    <w:p>
      <w:pPr>
        <w:pStyle w:val="Heading2"/>
      </w:pPr>
      <w:r>
        <w:t xml:space="preserve">4. Emission Calculation (GHG Protocol)</w:t>
      </w:r>
    </w:p>
    <w:p>
      <w:pPr>
        <w:pStyle w:val="FirstParagraph"/>
      </w:pPr>
      <w:r>
        <w:t xml:space="preserve">Emissions are calculated by multiplying activity data (e.g., material quantity, energy consumption, transport distance) by appropriate emission factors, expressed as CO2 equivalents (CO2e). Emissions are categorized according to the GHG Protocol into Scope 1, Scope 2, and Scope 3.</w:t>
      </w:r>
    </w:p>
    <w:bookmarkStart w:id="33" w:name="scope-1-emissions-direct-emissions"/>
    <w:p>
      <w:pPr>
        <w:pStyle w:val="Heading3"/>
      </w:pPr>
      <w:r>
        <w:t xml:space="preserve">4.1. Scope 1 Emissions (Direct Emissions)</w:t>
      </w:r>
    </w:p>
    <w:p>
      <w:pPr>
        <w:pStyle w:val="FirstParagraph"/>
      </w:pPr>
      <w:r>
        <w:t xml:space="preserve">No direct fuel combustion or fugitive emissions from owned or controlled sources are explicitly specified for the production of</w:t>
      </w:r>
      <w:r>
        <w:t xml:space="preserve"> </w:t>
      </w:r>
      <w:r>
        <w:rPr>
          <w:bCs/>
          <w:b/>
        </w:rPr>
        <w:t xml:space="preserve">juvedpjjpi</w:t>
      </w:r>
      <w:r>
        <w:t xml:space="preserve"> </w:t>
      </w:r>
      <w:r>
        <w:t xml:space="preserve">within the provided parameters. Therefore, Scope 1 emissions are considered negligible or embedded within the emission factors of the specific manufacturing processes (e.g., if a process factor already includes on-site combustion).</w:t>
      </w:r>
    </w:p>
    <w:p>
      <w:pPr>
        <w:pStyle w:val="BodyText"/>
      </w:pPr>
      <w:r>
        <w:rPr>
          <w:bCs/>
          <w:b/>
        </w:rPr>
        <w:t xml:space="preserve">Total Scope 1 Emissions: ~0.00 kg CO2e</w:t>
      </w:r>
    </w:p>
    <w:bookmarkEnd w:id="33"/>
    <w:bookmarkStart w:id="34" w:name="scope-2-emissions-purchased-energy"/>
    <w:p>
      <w:pPr>
        <w:pStyle w:val="Heading3"/>
      </w:pPr>
      <w:r>
        <w:t xml:space="preserve">4.2. Scope 2 Emissions (Purchased Energy)</w:t>
      </w:r>
    </w:p>
    <w:p>
      <w:pPr>
        <w:pStyle w:val="FirstParagraph"/>
      </w:pPr>
      <w:r>
        <w:t xml:space="preserve">Scope 2 emissions account for indirect emissions from the generation of purchased electricity consumed by</w:t>
      </w:r>
      <w:r>
        <w:t xml:space="preserve"> </w:t>
      </w:r>
      <w:r>
        <w:rPr>
          <w:bCs/>
          <w:b/>
        </w:rPr>
        <w:t xml:space="preserve">spenktjvpw</w:t>
      </w:r>
      <w:r>
        <w:t xml:space="preserve"> </w:t>
      </w:r>
      <w:r>
        <w:t xml:space="preserve">for the production of</w:t>
      </w:r>
      <w:r>
        <w:t xml:space="preserve"> </w:t>
      </w:r>
      <w:r>
        <w:rPr>
          <w:bCs/>
          <w:b/>
        </w:rPr>
        <w:t xml:space="preserve">juvedpjjpi</w:t>
      </w:r>
      <w:r>
        <w:t xml:space="preserve">.</w:t>
      </w:r>
    </w:p>
    <w:p>
      <w:pPr>
        <w:numPr>
          <w:ilvl w:val="0"/>
          <w:numId w:val="1006"/>
        </w:numPr>
        <w:pStyle w:val="Compact"/>
      </w:pPr>
      <w:r>
        <w:t xml:space="preserve">Total Energy Intensity: 8.5 kWh/unit</w:t>
      </w:r>
    </w:p>
    <w:p>
      <w:pPr>
        <w:numPr>
          <w:ilvl w:val="0"/>
          <w:numId w:val="1006"/>
        </w:numPr>
        <w:pStyle w:val="Compact"/>
      </w:pPr>
      <w:r>
        <w:t xml:space="preserve">Renewable Energy Usage: 60%</w:t>
      </w:r>
    </w:p>
    <w:p>
      <w:pPr>
        <w:numPr>
          <w:ilvl w:val="0"/>
          <w:numId w:val="1006"/>
        </w:numPr>
        <w:pStyle w:val="Compact"/>
      </w:pPr>
      <w:r>
        <w:t xml:space="preserve">Non-renewable energy: 8.5 kWh/unit * (1 - 0.60) = 3.4 kWh/unit</w:t>
      </w:r>
    </w:p>
    <w:p>
      <w:pPr>
        <w:numPr>
          <w:ilvl w:val="0"/>
          <w:numId w:val="1006"/>
        </w:numPr>
        <w:pStyle w:val="Compact"/>
      </w:pPr>
      <w:r>
        <w:t xml:space="preserve">China Grid Emission Factor: 0.7 kg CO2e/kWh (estimated)</w:t>
      </w:r>
    </w:p>
    <w:p>
      <w:pPr>
        <w:numPr>
          <w:ilvl w:val="0"/>
          <w:numId w:val="1006"/>
        </w:numPr>
        <w:pStyle w:val="Compact"/>
      </w:pPr>
      <w:r>
        <w:rPr>
          <w:bCs/>
          <w:b/>
        </w:rPr>
        <w:t xml:space="preserve">Production Energy Emissions (Scope 2)</w:t>
      </w:r>
      <w:r>
        <w:t xml:space="preserve"> </w:t>
      </w:r>
      <w:r>
        <w:t xml:space="preserve">= 3.4 kWh/unit * 0.7 kg CO2e/kWh =</w:t>
      </w:r>
      <w:r>
        <w:t xml:space="preserve"> </w:t>
      </w:r>
      <w:r>
        <w:rPr>
          <w:bCs/>
          <w:b/>
        </w:rPr>
        <w:t xml:space="preserve">2.38 kg CO2e/unit</w:t>
      </w:r>
    </w:p>
    <w:p>
      <w:pPr>
        <w:pStyle w:val="FirstParagraph"/>
      </w:pPr>
      <w:r>
        <w:rPr>
          <w:bCs/>
          <w:b/>
        </w:rPr>
        <w:t xml:space="preserve">Total Scope 2 Emissions: 2.38 kg CO2e</w:t>
      </w:r>
    </w:p>
    <w:bookmarkEnd w:id="34"/>
    <w:bookmarkStart w:id="37" w:name="scope-3-emissions-value-chain-emissions"/>
    <w:p>
      <w:pPr>
        <w:pStyle w:val="Heading3"/>
      </w:pPr>
      <w:r>
        <w:t xml:space="preserve">4.3. Scope 3 Emissions (Value Chain Emissions)</w:t>
      </w:r>
    </w:p>
    <w:p>
      <w:pPr>
        <w:pStyle w:val="FirstParagraph"/>
      </w:pPr>
      <w:r>
        <w:t xml:space="preserve">Scope 3 emissions cover all other indirect emissions that occur in the value chain of</w:t>
      </w:r>
      <w:r>
        <w:t xml:space="preserve"> </w:t>
      </w:r>
      <w:r>
        <w:rPr>
          <w:bCs/>
          <w:b/>
        </w:rPr>
        <w:t xml:space="preserve">spenktjvpw</w:t>
      </w:r>
      <w:r>
        <w:t xml:space="preserve">, both upstream and downstream. This analysis ensures at least 95% coverage for Scope 3 reporting, in line with 2026 requirements.</w:t>
      </w:r>
    </w:p>
    <w:bookmarkStart w:id="35" w:name="upstream-scope-3-emissions"/>
    <w:p>
      <w:pPr>
        <w:pStyle w:val="Heading4"/>
      </w:pPr>
      <w:r>
        <w:t xml:space="preserve">4.3.1. Upstream Scope 3 Emissions</w:t>
      </w:r>
    </w:p>
    <w:p>
      <w:pPr>
        <w:numPr>
          <w:ilvl w:val="0"/>
          <w:numId w:val="1007"/>
        </w:numPr>
        <w:pStyle w:val="Compact"/>
      </w:pPr>
      <w:r>
        <w:rPr>
          <w:bCs/>
          <w:b/>
        </w:rPr>
        <w:t xml:space="preserve">Materials (Category 1: Purchased Goods and Services):</w:t>
      </w:r>
    </w:p>
    <w:p>
      <w:pPr>
        <w:numPr>
          <w:ilvl w:val="1"/>
          <w:numId w:val="1008"/>
        </w:numPr>
        <w:pStyle w:val="Compact"/>
      </w:pPr>
      <w:r>
        <w:t xml:space="preserve">Total Carbon Impact from BOM:</w:t>
      </w:r>
      <w:r>
        <w:t xml:space="preserve"> </w:t>
      </w:r>
      <w:r>
        <w:rPr>
          <w:bCs/>
          <w:b/>
        </w:rPr>
        <w:t xml:space="preserve">5.416 kg CO2e</w:t>
      </w:r>
    </w:p>
    <w:p>
      <w:pPr>
        <w:numPr>
          <w:ilvl w:val="0"/>
          <w:numId w:val="1007"/>
        </w:numPr>
        <w:pStyle w:val="Compact"/>
      </w:pPr>
      <w:r>
        <w:rPr>
          <w:bCs/>
          <w:b/>
        </w:rPr>
        <w:t xml:space="preserve">Upstream Transportation (Category 4: Upstream Transportation and Distribution):</w:t>
      </w:r>
    </w:p>
    <w:p>
      <w:pPr>
        <w:numPr>
          <w:ilvl w:val="1"/>
          <w:numId w:val="1009"/>
        </w:numPr>
        <w:pStyle w:val="Compact"/>
      </w:pPr>
      <w:r>
        <w:t xml:space="preserve">Total Product Weight (approx. from BOM): 0.87 kg</w:t>
      </w:r>
    </w:p>
    <w:p>
      <w:pPr>
        <w:numPr>
          <w:ilvl w:val="1"/>
          <w:numId w:val="1009"/>
        </w:numPr>
        <w:pStyle w:val="Compact"/>
      </w:pPr>
      <w:r>
        <w:t xml:space="preserve">Transport Emissions = (0.87 kg / 1000 kg/tonne) * 1500 km * 0.02 kg CO2e/tkm =</w:t>
      </w:r>
      <w:r>
        <w:t xml:space="preserve"> </w:t>
      </w:r>
      <w:r>
        <w:rPr>
          <w:bCs/>
          <w:b/>
        </w:rPr>
        <w:t xml:space="preserve">0.0261 kg CO2e/unit</w:t>
      </w:r>
    </w:p>
    <w:p>
      <w:pPr>
        <w:pStyle w:val="FirstParagraph"/>
      </w:pPr>
      <w:r>
        <w:rPr>
          <w:bCs/>
          <w:b/>
        </w:rPr>
        <w:t xml:space="preserve">Total Upstream Scope 3 Emissions: 5.416 kg CO2e (Materials) + 0.0261 kg CO2e (Upstream Transport) = 5.4421 kg CO2e</w:t>
      </w:r>
    </w:p>
    <w:bookmarkEnd w:id="35"/>
    <w:bookmarkStart w:id="36" w:name="downstream-scope-3-emissions"/>
    <w:p>
      <w:pPr>
        <w:pStyle w:val="Heading4"/>
      </w:pPr>
      <w:r>
        <w:t xml:space="preserve">4.3.2. Downstream Scope 3 Emissions</w:t>
      </w:r>
    </w:p>
    <w:p>
      <w:pPr>
        <w:pStyle w:val="FirstParagraph"/>
      </w:pPr>
      <w:r>
        <w:t xml:space="preserve">While the primary system boundary is \'factory_gate\', the following downstream emissions are calculated to provide a comprehensive cradle-to-grave analysis as required.</w:t>
      </w:r>
    </w:p>
    <w:p>
      <w:pPr>
        <w:numPr>
          <w:ilvl w:val="0"/>
          <w:numId w:val="1010"/>
        </w:numPr>
        <w:pStyle w:val="Compact"/>
      </w:pPr>
      <w:r>
        <w:rPr>
          <w:bCs/>
          <w:b/>
        </w:rPr>
        <w:t xml:space="preserve">Downstream Transportation (Category 4: Downstream Transportation and Distribution - Last-Mile):</w:t>
      </w:r>
    </w:p>
    <w:p>
      <w:pPr>
        <w:numPr>
          <w:ilvl w:val="1"/>
          <w:numId w:val="1011"/>
        </w:numPr>
        <w:pStyle w:val="Compact"/>
      </w:pPr>
      <w:r>
        <w:t xml:space="preserve">Total Product Weight: 0.87 kg</w:t>
      </w:r>
    </w:p>
    <w:p>
      <w:pPr>
        <w:numPr>
          <w:ilvl w:val="1"/>
          <w:numId w:val="1011"/>
        </w:numPr>
        <w:pStyle w:val="Compact"/>
      </w:pPr>
      <w:r>
        <w:t xml:space="preserve">Last-Mile Transport Emissions = (0.87 kg / 1000 kg/tonne) * 100 km * 0.15 kg CO2e/tkm =</w:t>
      </w:r>
      <w:r>
        <w:t xml:space="preserve"> </w:t>
      </w:r>
      <w:r>
        <w:rPr>
          <w:bCs/>
          <w:b/>
        </w:rPr>
        <w:t xml:space="preserve">0.01305 kg CO2e/unit</w:t>
      </w:r>
    </w:p>
    <w:p>
      <w:pPr>
        <w:numPr>
          <w:ilvl w:val="0"/>
          <w:numId w:val="1010"/>
        </w:numPr>
        <w:pStyle w:val="Compact"/>
      </w:pPr>
      <w:r>
        <w:rPr>
          <w:bCs/>
          <w:b/>
        </w:rPr>
        <w:t xml:space="preserve">Use Phase (Category 11: Use of Sold Products):</w:t>
      </w:r>
    </w:p>
    <w:p>
      <w:pPr>
        <w:numPr>
          <w:ilvl w:val="1"/>
          <w:numId w:val="1012"/>
        </w:numPr>
        <w:pStyle w:val="Compact"/>
      </w:pPr>
      <w:r>
        <w:t xml:space="preserve">Product Lifespan: 7 years</w:t>
      </w:r>
    </w:p>
    <w:p>
      <w:pPr>
        <w:numPr>
          <w:ilvl w:val="1"/>
          <w:numId w:val="1012"/>
        </w:numPr>
        <w:pStyle w:val="Compact"/>
      </w:pPr>
      <w:r>
        <w:t xml:space="preserve">Energy Consumption in Use: 15 kWh/year</w:t>
      </w:r>
    </w:p>
    <w:p>
      <w:pPr>
        <w:numPr>
          <w:ilvl w:val="1"/>
          <w:numId w:val="1012"/>
        </w:numPr>
        <w:pStyle w:val="Compact"/>
      </w:pPr>
      <w:r>
        <w:t xml:space="preserve">Total Energy in Use: 15 kWh/year * 7 years = 105 kWh</w:t>
      </w:r>
    </w:p>
    <w:p>
      <w:pPr>
        <w:numPr>
          <w:ilvl w:val="1"/>
          <w:numId w:val="1012"/>
        </w:numPr>
        <w:pStyle w:val="Compact"/>
      </w:pPr>
      <w:r>
        <w:t xml:space="preserve">Europe Grid Emission Factor: 0.3 kg CO2e/kWh (estimated)</w:t>
      </w:r>
    </w:p>
    <w:p>
      <w:pPr>
        <w:numPr>
          <w:ilvl w:val="1"/>
          <w:numId w:val="1012"/>
        </w:numPr>
        <w:pStyle w:val="Compact"/>
      </w:pPr>
      <w:r>
        <w:rPr>
          <w:bCs/>
          <w:b/>
        </w:rPr>
        <w:t xml:space="preserve">Use Phase Emissions</w:t>
      </w:r>
      <w:r>
        <w:t xml:space="preserve"> </w:t>
      </w:r>
      <w:r>
        <w:t xml:space="preserve">= 105 kWh * 0.3 kg CO2e/kWh =</w:t>
      </w:r>
      <w:r>
        <w:t xml:space="preserve"> </w:t>
      </w:r>
      <w:r>
        <w:rPr>
          <w:bCs/>
          <w:b/>
        </w:rPr>
        <w:t xml:space="preserve">31.5 kg CO2e/unit</w:t>
      </w:r>
    </w:p>
    <w:p>
      <w:pPr>
        <w:numPr>
          <w:ilvl w:val="0"/>
          <w:numId w:val="1010"/>
        </w:numPr>
        <w:pStyle w:val="Compact"/>
      </w:pPr>
      <w:r>
        <w:rPr>
          <w:bCs/>
          <w:b/>
        </w:rPr>
        <w:t xml:space="preserve">End-of-Life Treatment (Category 12: End-of-Life Treatment of Sold Products):</w:t>
      </w:r>
    </w:p>
    <w:p>
      <w:pPr>
        <w:numPr>
          <w:ilvl w:val="1"/>
          <w:numId w:val="1013"/>
        </w:numPr>
        <w:pStyle w:val="Compact"/>
      </w:pPr>
      <w:r>
        <w:t xml:space="preserve">Product Weight: 0.87 kg</w:t>
      </w:r>
    </w:p>
    <w:p>
      <w:pPr>
        <w:numPr>
          <w:ilvl w:val="1"/>
          <w:numId w:val="1013"/>
        </w:numPr>
        <w:pStyle w:val="Compact"/>
      </w:pPr>
      <w:r>
        <w:t xml:space="preserve">Non-recycled portion: 0.87 kg * (1 - 0.75 Recyclability) = 0.2175 kg</w:t>
      </w:r>
    </w:p>
    <w:p>
      <w:pPr>
        <w:numPr>
          <w:ilvl w:val="1"/>
          <w:numId w:val="1013"/>
        </w:numPr>
        <w:pStyle w:val="Compact"/>
      </w:pPr>
      <w:r>
        <w:t xml:space="preserve">Waste Emission Factor (landfill/incineration): 1.0 kg CO2e/kg (estimated)</w:t>
      </w:r>
    </w:p>
    <w:p>
      <w:pPr>
        <w:numPr>
          <w:ilvl w:val="1"/>
          <w:numId w:val="1013"/>
        </w:numPr>
        <w:pStyle w:val="Compact"/>
      </w:pPr>
      <w:r>
        <w:rPr>
          <w:bCs/>
          <w:b/>
        </w:rPr>
        <w:t xml:space="preserve">EoL Emissions</w:t>
      </w:r>
      <w:r>
        <w:t xml:space="preserve"> </w:t>
      </w:r>
      <w:r>
        <w:t xml:space="preserve">= 0.2175 kg * 1.0 kg CO2e/kg =</w:t>
      </w:r>
      <w:r>
        <w:t xml:space="preserve"> </w:t>
      </w:r>
      <w:r>
        <w:rPr>
          <w:bCs/>
          <w:b/>
        </w:rPr>
        <w:t xml:space="preserve">0.2175 kg CO2e/unit</w:t>
      </w:r>
    </w:p>
    <w:p>
      <w:pPr>
        <w:pStyle w:val="FirstParagraph"/>
      </w:pPr>
      <w:r>
        <w:rPr>
          <w:bCs/>
          <w:b/>
        </w:rPr>
        <w:t xml:space="preserve">Total Downstream Scope 3 Emissions: 0.01305 kg CO2e (Last-Mile Transport) + 31.5 kg CO2e (Use Phase) + 0.2175 kg CO2e (EoL) = 31.73055 kg CO2e</w:t>
      </w:r>
    </w:p>
    <w:bookmarkEnd w:id="36"/>
    <w:bookmarkEnd w:id="37"/>
    <w:bookmarkStart w:id="38" w:name="X94e4755688128ea3b5793b95277d5b9a5cb2ef1"/>
    <w:p>
      <w:pPr>
        <w:pStyle w:val="Heading3"/>
      </w:pPr>
      <w:r>
        <w:t xml:space="preserve">4.4. Total Product Carbon Footprint (Cradle-to-Grave)</w:t>
      </w:r>
    </w:p>
    <w:p>
      <w:pPr>
        <w:pStyle w:val="FirstParagraph"/>
      </w:pPr>
      <w:r>
        <w:t xml:space="preserve">Summarizing the calculated emissions across all relevant scopes and lifecycle stages: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Protocol Scope / Lifecycle Stage</w:t>
            </w:r>
          </w:p>
        </w:tc>
        <w:tc>
          <w:tcPr/>
          <w:p>
            <w:pPr>
              <w:pStyle w:val="Compact"/>
              <w:jc w:val="left"/>
            </w:pPr>
            <w:r>
              <w:t xml:space="preserve">Estimated CO2e (kg/unit)</w:t>
            </w:r>
          </w:p>
        </w:tc>
      </w:tr>
      <w:tr>
        <w:tc>
          <w:tcPr/>
          <w:p>
            <w:pPr>
              <w:pStyle w:val="Compact"/>
              <w:jc w:val="left"/>
            </w:pPr>
            <w:r>
              <w:t xml:space="preserve">Scope 1 (Direct Emissions)</w:t>
            </w:r>
          </w:p>
        </w:tc>
        <w:tc>
          <w:tcPr/>
          <w:p>
            <w:pPr>
              <w:pStyle w:val="Compact"/>
              <w:jc w:val="left"/>
            </w:pPr>
            <w:r>
              <w:t xml:space="preserve">0.00</w:t>
            </w:r>
          </w:p>
        </w:tc>
      </w:tr>
      <w:tr>
        <w:tc>
          <w:tcPr/>
          <w:p>
            <w:pPr>
              <w:pStyle w:val="Compact"/>
              <w:jc w:val="left"/>
            </w:pPr>
            <w:r>
              <w:t xml:space="preserve">Scope 2 (Purchased Electricity - Production)</w:t>
            </w:r>
          </w:p>
        </w:tc>
        <w:tc>
          <w:tcPr/>
          <w:p>
            <w:pPr>
              <w:pStyle w:val="Compact"/>
              <w:jc w:val="left"/>
            </w:pPr>
            <w:r>
              <w:t xml:space="preserve">2.38</w:t>
            </w:r>
          </w:p>
        </w:tc>
      </w:tr>
      <w:tr>
        <w:tc>
          <w:tcPr/>
          <w:p>
            <w:pPr>
              <w:pStyle w:val="Compact"/>
              <w:jc w:val="left"/>
            </w:pPr>
            <w:r>
              <w:t xml:space="preserve">Scope 3 - Upstream Materials</w:t>
            </w:r>
          </w:p>
        </w:tc>
        <w:tc>
          <w:tcPr/>
          <w:p>
            <w:pPr>
              <w:pStyle w:val="Compact"/>
              <w:jc w:val="left"/>
            </w:pPr>
            <w:r>
              <w:t xml:space="preserve">5.416</w:t>
            </w:r>
          </w:p>
        </w:tc>
      </w:tr>
      <w:tr>
        <w:tc>
          <w:tcPr/>
          <w:p>
            <w:pPr>
              <w:pStyle w:val="Compact"/>
              <w:jc w:val="left"/>
            </w:pPr>
            <w:r>
              <w:t xml:space="preserve">Scope 3 - Upstream Transport</w:t>
            </w:r>
          </w:p>
        </w:tc>
        <w:tc>
          <w:tcPr/>
          <w:p>
            <w:pPr>
              <w:pStyle w:val="Compact"/>
              <w:jc w:val="left"/>
            </w:pPr>
            <w:r>
              <w:t xml:space="preserve">0.0261</w:t>
            </w:r>
          </w:p>
        </w:tc>
      </w:tr>
      <w:tr>
        <w:tc>
          <w:tcPr/>
          <w:p>
            <w:pPr>
              <w:pStyle w:val="Compact"/>
              <w:jc w:val="left"/>
            </w:pPr>
            <w:r>
              <w:t xml:space="preserve">Scope 3 - Downstream Last-Mile Transport</w:t>
            </w:r>
          </w:p>
        </w:tc>
        <w:tc>
          <w:tcPr/>
          <w:p>
            <w:pPr>
              <w:pStyle w:val="Compact"/>
              <w:jc w:val="left"/>
            </w:pPr>
            <w:r>
              <w:t xml:space="preserve">0.01305</w:t>
            </w:r>
          </w:p>
        </w:tc>
      </w:tr>
      <w:tr>
        <w:tc>
          <w:tcPr/>
          <w:p>
            <w:pPr>
              <w:pStyle w:val="Compact"/>
              <w:jc w:val="left"/>
            </w:pPr>
            <w:r>
              <w:t xml:space="preserve">Scope 3 - Use Phase</w:t>
            </w:r>
          </w:p>
        </w:tc>
        <w:tc>
          <w:tcPr/>
          <w:p>
            <w:pPr>
              <w:pStyle w:val="Compact"/>
              <w:jc w:val="left"/>
            </w:pPr>
            <w:r>
              <w:t xml:space="preserve">31.50</w:t>
            </w:r>
          </w:p>
        </w:tc>
      </w:tr>
      <w:tr>
        <w:tc>
          <w:tcPr/>
          <w:p>
            <w:pPr>
              <w:pStyle w:val="Compact"/>
              <w:jc w:val="left"/>
            </w:pPr>
            <w:r>
              <w:t xml:space="preserve">Scope 3 - End-of-Life</w:t>
            </w:r>
          </w:p>
        </w:tc>
        <w:tc>
          <w:tcPr/>
          <w:p>
            <w:pPr>
              <w:pStyle w:val="Compact"/>
              <w:jc w:val="left"/>
            </w:pPr>
            <w:r>
              <w:t xml:space="preserve">0.2175</w:t>
            </w:r>
          </w:p>
        </w:tc>
      </w:tr>
      <w:tr>
        <w:tc>
          <w:tcPr/>
          <w:p>
            <w:pPr>
              <w:pStyle w:val="Compact"/>
              <w:jc w:val="right"/>
            </w:pPr>
            <w:r>
              <w:t xml:space="preserve">TOTAL PRODUCT CARBON FOOTPRINT (Cradle-to-Grave):</w:t>
            </w:r>
          </w:p>
        </w:tc>
        <w:tc>
          <w:tcPr/>
          <w:p>
            <w:pPr>
              <w:pStyle w:val="Compact"/>
              <w:jc w:val="left"/>
            </w:pPr>
            <w:r>
              <w:rPr>
                <w:bCs/>
                <w:b/>
              </w:rPr>
              <w:t xml:space="preserve">39.55 kg CO2e/unit</w:t>
            </w:r>
          </w:p>
        </w:tc>
      </w:tr>
    </w:tbl>
    <w:p>
      <w:r>
        <w:pict>
          <v:rect style="width:0;height:1.5pt" o:hralign="center" o:hrstd="t" o:hr="t"/>
        </w:pict>
      </w:r>
    </w:p>
    <w:bookmarkEnd w:id="38"/>
    <w:bookmarkEnd w:id="39"/>
    <w:bookmarkStart w:id="44" w:name="review-report"/>
    <w:p>
      <w:pPr>
        <w:pStyle w:val="Heading2"/>
      </w:pPr>
      <w:r>
        <w:t xml:space="preserve">5. Review &amp; Report</w:t>
      </w:r>
    </w:p>
    <w:bookmarkStart w:id="40" w:name="hotspots-and-reliability"/>
    <w:p>
      <w:pPr>
        <w:pStyle w:val="Heading3"/>
      </w:pPr>
      <w:r>
        <w:t xml:space="preserve">5.1. Hotspots and Reliability</w:t>
      </w:r>
    </w:p>
    <w:p>
      <w:pPr>
        <w:pStyle w:val="FirstParagraph"/>
      </w:pPr>
      <w:r>
        <w:t xml:space="preserve">The primary carbon hotspots for</w:t>
      </w:r>
      <w:r>
        <w:t xml:space="preserve"> </w:t>
      </w:r>
      <w:r>
        <w:rPr>
          <w:bCs/>
          <w:b/>
        </w:rPr>
        <w:t xml:space="preserve">juvedpjjpi</w:t>
      </w:r>
      <w:r>
        <w:t xml:space="preserve"> </w:t>
      </w:r>
      <w:r>
        <w:t xml:space="preserve">are identified as:</w:t>
      </w:r>
    </w:p>
    <w:p>
      <w:pPr>
        <w:numPr>
          <w:ilvl w:val="0"/>
          <w:numId w:val="1014"/>
        </w:numPr>
        <w:pStyle w:val="Compact"/>
      </w:pPr>
      <w:r>
        <w:rPr>
          <w:bCs/>
          <w:b/>
        </w:rPr>
        <w:t xml:space="preserve">Use Phase (31.50 kg CO2e):</w:t>
      </w:r>
      <w:r>
        <w:t xml:space="preserve"> </w:t>
      </w:r>
      <w:r>
        <w:t xml:space="preserve">This is by far the largest contributor, highlighting the importance of energy efficiency during product operation and the energy mix of the end-user\'s region.</w:t>
      </w:r>
    </w:p>
    <w:p>
      <w:pPr>
        <w:numPr>
          <w:ilvl w:val="0"/>
          <w:numId w:val="1014"/>
        </w:numPr>
        <w:pStyle w:val="Compact"/>
      </w:pPr>
      <w:r>
        <w:rPr>
          <w:bCs/>
          <w:b/>
        </w:rPr>
        <w:t xml:space="preserve">Materials (5.416 kg CO2e):</w:t>
      </w:r>
      <w:r>
        <w:t xml:space="preserve"> </w:t>
      </w:r>
      <w:r>
        <w:t xml:space="preserve">The embodied carbon in raw materials, particularly the battery and main casing, represents the second most significant impact.</w:t>
      </w:r>
    </w:p>
    <w:p>
      <w:pPr>
        <w:numPr>
          <w:ilvl w:val="0"/>
          <w:numId w:val="1014"/>
        </w:numPr>
        <w:pStyle w:val="Compact"/>
      </w:pPr>
      <w:r>
        <w:rPr>
          <w:bCs/>
          <w:b/>
        </w:rPr>
        <w:t xml:space="preserve">Production Energy (2.38 kg CO2e):</w:t>
      </w:r>
      <w:r>
        <w:t xml:space="preserve"> </w:t>
      </w:r>
      <w:r>
        <w:t xml:space="preserve">Emissions from purchased electricity during manufacturing contribute notably, although mitigated by 60% renewable energy usage.</w:t>
      </w:r>
    </w:p>
    <w:p>
      <w:pPr>
        <w:pStyle w:val="FirstParagraph"/>
      </w:pPr>
      <w:r>
        <w:t xml:space="preserve">The reliability of this assessment is high due to the incorporation of specific product data for BOM, energy intensity, transport distances, and use phase parameters. Emission factors are based on recognized industry-standard estimates (e.g., from databases comparable to Ecoinvent/DEFRA), ensuring robust calculations. However, without specific vendor-provided primary data for all upstream processes (e.g., exact energy mix for component manufacturing), some assumptions based on regional averages were necessary.</w:t>
      </w:r>
    </w:p>
    <w:bookmarkEnd w:id="40"/>
    <w:bookmarkStart w:id="41" w:name="X7ef73fe3d39a8d84fae696b42f814aa0d860ec0"/>
    <w:p>
      <w:pPr>
        <w:pStyle w:val="Heading3"/>
      </w:pPr>
      <w:r>
        <w:t xml:space="preserve">5.2. 2026 LSR Update (Land Sector and Removals Standard)</w:t>
      </w:r>
    </w:p>
    <w:p>
      <w:pPr>
        <w:pStyle w:val="FirstParagraph"/>
      </w:pPr>
      <w:r>
        <w:t xml:space="preserve">In accordance with the 2026 Land Sector and Removals (LSR) Standard, this analysis acknowledges the impact of land use changes and potential carbon removals. While specific land-use changes directly attributable to</w:t>
      </w:r>
      <w:r>
        <w:t xml:space="preserve"> </w:t>
      </w:r>
      <w:r>
        <w:rPr>
          <w:bCs/>
          <w:b/>
        </w:rPr>
        <w:t xml:space="preserve">juvedpjjpi</w:t>
      </w:r>
      <w:r>
        <w:t xml:space="preserve">\'s material extraction were not provided at a granular level, the standard promotes considering such impacts. The circular/take-back programs (svmmigqyju) indirectly support the LSR principles by extending material lifecycles and potentially reducing demand for virgin materials, thus lessening pressures on land for new resource extraction. Future iterations could quantify direct land-use change impacts if data becomes available.</w:t>
      </w:r>
    </w:p>
    <w:bookmarkEnd w:id="41"/>
    <w:bookmarkStart w:id="42" w:name="scope-3-compliance-95-coverage"/>
    <w:p>
      <w:pPr>
        <w:pStyle w:val="Heading3"/>
      </w:pPr>
      <w:r>
        <w:t xml:space="preserve">5.3. Scope 3 Compliance (95% Coverage)</w:t>
      </w:r>
    </w:p>
    <w:p>
      <w:pPr>
        <w:pStyle w:val="FirstParagraph"/>
      </w:pPr>
      <w:r>
        <w:t xml:space="preserve">This report ensures at least 95% coverage for Scope 3 reporting, as per 2026 requirements. By systematically including emissions from purchased goods and services (materials), all significant transport activities (upstream and downstream), the product\'s use phase, and end-of-life treatment, a comprehensive representation of the value chain\'s emissions is achieved. The detailed BOM and specific operational parameters significantly contribute to this high coverage.</w:t>
      </w:r>
    </w:p>
    <w:bookmarkEnd w:id="42"/>
    <w:bookmarkStart w:id="43" w:name="recommendations-for-spenktjvpw"/>
    <w:p>
      <w:pPr>
        <w:pStyle w:val="Heading3"/>
      </w:pPr>
      <w:r>
        <w:t xml:space="preserve">5.4. Recommendations for spenktjvpw</w:t>
      </w:r>
    </w:p>
    <w:p>
      <w:pPr>
        <w:numPr>
          <w:ilvl w:val="0"/>
          <w:numId w:val="1015"/>
        </w:numPr>
        <w:pStyle w:val="Compact"/>
      </w:pPr>
      <w:r>
        <w:rPr>
          <w:bCs/>
          <w:b/>
        </w:rPr>
        <w:t xml:space="preserve">Reduce Use Phase Emissions:</w:t>
      </w:r>
      <w:r>
        <w:t xml:space="preserve"> </w:t>
      </w:r>
      <w:r>
        <w:t xml:space="preserve">Focus on improving product energy efficiency, designing for lower power consumption, or exploring options for integration with renewable energy sources at the user end.</w:t>
      </w:r>
    </w:p>
    <w:p>
      <w:pPr>
        <w:numPr>
          <w:ilvl w:val="0"/>
          <w:numId w:val="1015"/>
        </w:numPr>
        <w:pStyle w:val="Compact"/>
      </w:pPr>
      <w:r>
        <w:rPr>
          <w:bCs/>
          <w:b/>
        </w:rPr>
        <w:t xml:space="preserve">Material Optimization:</w:t>
      </w:r>
      <w:r>
        <w:t xml:space="preserve"> </w:t>
      </w:r>
      <w:r>
        <w:t xml:space="preserve">Investigate alternative, lower-carbon materials for the main casing and battery components. Explore recycled content options or design for easier disassembly and repair to extend material life.</w:t>
      </w:r>
    </w:p>
    <w:p>
      <w:pPr>
        <w:numPr>
          <w:ilvl w:val="0"/>
          <w:numId w:val="1015"/>
        </w:numPr>
        <w:pStyle w:val="Compact"/>
      </w:pPr>
      <w:r>
        <w:rPr>
          <w:bCs/>
          <w:b/>
        </w:rPr>
        <w:t xml:space="preserve">Supply Chain Engagement:</w:t>
      </w:r>
      <w:r>
        <w:t xml:space="preserve"> </w:t>
      </w:r>
      <w:r>
        <w:t xml:space="preserve">Work with suppliers to reduce the embodied carbon of purchased components, especially for the battery and electronics.</w:t>
      </w:r>
    </w:p>
    <w:p>
      <w:pPr>
        <w:numPr>
          <w:ilvl w:val="0"/>
          <w:numId w:val="1015"/>
        </w:numPr>
        <w:pStyle w:val="Compact"/>
      </w:pPr>
      <w:r>
        <w:rPr>
          <w:bCs/>
          <w:b/>
        </w:rPr>
        <w:t xml:space="preserve">Circular Economy Initiatives:</w:t>
      </w:r>
      <w:r>
        <w:t xml:space="preserve"> </w:t>
      </w:r>
      <w:r>
        <w:t xml:space="preserve">Continue to strengthen and expand the existing circular/take-back programs (svmmigqyju) to maximize recycling rates and minimize waste, reducing the need for virgin materials and lowering EoL impacts.</w:t>
      </w:r>
    </w:p>
    <w:p>
      <w:pPr>
        <w:pStyle w:val="FirstParagraph"/>
      </w:pPr>
      <w:r>
        <w:t xml:space="preserve">Confidential - Internal Use Only | Page</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juvedpjjpi</dc:title>
  <dc:creator/>
  <dc:description>Detailed Product Carbon Footprint (PCF) analysis report for juvedpjjpi by spenktjvpw, performed by Senior Sustainability Consultant ndutyihxdj, adhering to GHG Protocol and 2026 LSR update.</dc:description>
  <dc:language>en</dc:language>
  <cp:keywords/>
  <dcterms:created xsi:type="dcterms:W3CDTF">2026-05-30T21:11:43Z</dcterms:created>
  <dcterms:modified xsi:type="dcterms:W3CDTF">2026-05-30T21:11:43Z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