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justiywkst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justiywkst</w:t>
      </w:r>
    </w:p>
    <w:p>
      <w:pPr>
        <w:pStyle w:val="BodyText"/>
      </w:pPr>
      <w:r>
        <w:rPr>
          <w:bCs/>
          <w:b/>
        </w:rPr>
        <w:t xml:space="preserve">Company Name:</w:t>
      </w:r>
      <w:r>
        <w:t xml:space="preserve"> </w:t>
      </w:r>
      <w:r>
        <w:t xml:space="preserve">fzjwvuytih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sqywjmdixd</w:t>
      </w:r>
    </w:p>
    <w:p>
      <w:pPr>
        <w:pStyle w:val="BodyText"/>
      </w:pPr>
      <w:r>
        <w:t xml:space="preserve">This report is generated based on available data and industry standards. While every effort has been made to ensure accuracy, the actual environmental impacts may vary depending on real-world conditions and data availability.</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22,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justiywkst</w:t>
      </w:r>
      <w:r>
        <w:t xml:space="preserve">, manufactured by</w:t>
      </w:r>
      <w:r>
        <w:t xml:space="preserve"> </w:t>
      </w:r>
      <w:r>
        <w:rPr>
          <w:bCs/>
          <w:b/>
        </w:rPr>
        <w:t xml:space="preserve">fzjwvuytih</w:t>
      </w:r>
      <w:r>
        <w:t xml:space="preserve">. Conducted by Senior Sustainability Consultant</w:t>
      </w:r>
      <w:r>
        <w:t xml:space="preserve"> </w:t>
      </w:r>
      <w:r>
        <w:rPr>
          <w:bCs/>
          <w:b/>
        </w:rPr>
        <w:t xml:space="preserve">sqywjmdixd</w:t>
      </w:r>
      <w:r>
        <w:t xml:space="preserve">, this assessment adheres strictly to the GHG Protocol standards, including the latest 2026 Land Sector and Removals (LSR) update. The analysis covers the entire lifecycle of the product, from raw material extraction to end-of-life, within a factory-gate system boundary, with a geographic scope focused on China for final production and Europe for the supply chain. The primary objective is to quantify greenhouse gas (GHG) emissions, identify key hotspots, and provide actionable insights for emission reduction strategies, ensuring at least 95% coverage for Scope 3 emissions as per 2026 requirements.</w:t>
      </w:r>
    </w:p>
    <w:p>
      <w:r>
        <w:pict>
          <v:rect style="width:0;height:1.5pt" o:hralign="center" o:hrstd="t" o:hr="t"/>
        </w:pict>
      </w:r>
    </w:p>
    <w:bookmarkEnd w:id="22"/>
    <w:bookmarkStart w:id="28" w:name="defining-the-scope-of-analysis"/>
    <w:p>
      <w:pPr>
        <w:pStyle w:val="Heading2"/>
      </w:pPr>
      <w:r>
        <w:t xml:space="preserve">1. Defining the Scope of Analysis</w:t>
      </w:r>
    </w:p>
    <w:bookmarkStart w:id="23"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 of justiywkst</w:t>
      </w:r>
      <w:r>
        <w:t xml:space="preserve">. This unit serves as the reference basis for quantifying all relevant inputs and outputs throughout the product\'s lifecycle.</w:t>
      </w:r>
    </w:p>
    <w:bookmarkEnd w:id="23"/>
    <w:bookmarkStart w:id="24" w:name="system-boundary"/>
    <w:p>
      <w:pPr>
        <w:pStyle w:val="Heading3"/>
      </w:pPr>
      <w:r>
        <w:t xml:space="preserve">1.2 System Boundary</w:t>
      </w:r>
    </w:p>
    <w:p>
      <w:pPr>
        <w:pStyle w:val="FirstParagraph"/>
      </w:pPr>
      <w:r>
        <w:t xml:space="preserve">The system boundary for this PCF analysis is set as</w:t>
      </w:r>
      <w:r>
        <w:t xml:space="preserve"> </w:t>
      </w:r>
      <w:r>
        <w:rPr>
          <w:bCs/>
          <w:b/>
        </w:rPr>
        <w:t xml:space="preserve">"factory_gate"</w:t>
      </w:r>
      <w:r>
        <w:t xml:space="preserve">. This encompasses all activities from raw material acquisition, through manufacturing, to the point where the finished product leaves the production facility (factory gate). For comprehensive value chain understanding, upstream transportation, downstream transportation, use phase, and end-of-life scenarios are also analyzed as part of Scope 3 emissions.</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dual geographic focus acknowledges the global nature of modern supply chains, allowing for tailored emission factors and energy mixes relevant to each region.</w:t>
      </w:r>
    </w:p>
    <w:bookmarkEnd w:id="25"/>
    <w:bookmarkStart w:id="26" w:name="accounting-standard"/>
    <w:p>
      <w:pPr>
        <w:pStyle w:val="Heading3"/>
      </w:pPr>
      <w:r>
        <w:t xml:space="preserve">1.4 Accounting Standard</w:t>
      </w:r>
    </w:p>
    <w:p>
      <w:pPr>
        <w:pStyle w:val="FirstParagraph"/>
      </w:pPr>
      <w:r>
        <w:t xml:space="preserve">This Product Carbon Footprint analysis is conducted in full compliance with the</w:t>
      </w:r>
      <w:r>
        <w:t xml:space="preserve"> </w:t>
      </w:r>
      <w:r>
        <w:rPr>
          <w:bCs/>
          <w:b/>
        </w:rPr>
        <w:t xml:space="preserve">GHG Protocol</w:t>
      </w:r>
      <w:r>
        <w:t xml:space="preserve"> </w:t>
      </w:r>
      <w:r>
        <w:t xml:space="preserve">standards. This includes the Corporate Accounting and Reporting Standard and the Corporate Value Chain (Scope 3) Accounting and Reporting Standard. Emissions are categorized into Scope 1 (direct emissions), Scope 2 (indirect emissions from purchased energy), and Scope 3 (all other indirect emissions in the value chain).</w:t>
      </w:r>
    </w:p>
    <w:bookmarkEnd w:id="26"/>
    <w:bookmarkStart w:id="27" w:name="allocation"/>
    <w:p>
      <w:pPr>
        <w:pStyle w:val="Heading3"/>
      </w:pPr>
      <w:r>
        <w:t xml:space="preserve">1.5 Allocation</w:t>
      </w:r>
    </w:p>
    <w:p>
      <w:pPr>
        <w:pStyle w:val="FirstParagraph"/>
      </w:pPr>
      <w:r>
        <w:t xml:space="preserve">Allocation of emissions for co-products or multi-functional processes would be performed based on established GHG Protocol guidance, prioritizing physical relationships (e.g., mass, energy content) where possible, and economic allocation if physical allocation is not feasible or representative.</w:t>
      </w:r>
    </w:p>
    <w:p>
      <w:r>
        <w:pict>
          <v:rect style="width:0;height:1.5pt" o:hralign="center" o:hrstd="t" o:hr="t"/>
        </w:pict>
      </w:r>
    </w:p>
    <w:bookmarkEnd w:id="27"/>
    <w:bookmarkEnd w:id="28"/>
    <w:bookmarkStart w:id="29" w:name="X8df143d276c703dd53c23442d22b6472e0a1953"/>
    <w:p>
      <w:pPr>
        <w:pStyle w:val="Heading2"/>
      </w:pPr>
      <w:r>
        <w:t xml:space="preserve">2. Mapping the Product Lifecycle (LCI Inventory Stages)</w:t>
      </w:r>
    </w:p>
    <w:p>
      <w:pPr>
        <w:pStyle w:val="FirstParagraph"/>
      </w:pPr>
      <w:r>
        <w:t xml:space="preserve">The lifecycle of</w:t>
      </w:r>
      <w:r>
        <w:t xml:space="preserve"> </w:t>
      </w:r>
      <w:r>
        <w:rPr>
          <w:bCs/>
          <w:b/>
        </w:rPr>
        <w:t xml:space="preserve">justiywkst</w:t>
      </w:r>
      <w:r>
        <w:t xml:space="preserve"> </w:t>
      </w:r>
      <w:r>
        <w:t xml:space="preserve">is mapped across several stages to capture all significant GHG emission sources. These stages align with a typical "Cradle-to-Grave" approach, though the primary system boundary is "factory_gate" for direct operational emissions.</w:t>
      </w:r>
    </w:p>
    <w:p>
      <w:pPr>
        <w:numPr>
          <w:ilvl w:val="0"/>
          <w:numId w:val="1002"/>
        </w:numPr>
        <w:pStyle w:val="Compact"/>
      </w:pPr>
      <w:r>
        <w:rPr>
          <w:bCs/>
          <w:b/>
        </w:rPr>
        <w:t xml:space="preserve">Material Acquisition &amp; Pre-processing (Upstream - Scope 3):</w:t>
      </w:r>
      <w:r>
        <w:t xml:space="preserve"> </w:t>
      </w:r>
      <w:r>
        <w:t xml:space="preserve">Extraction of raw materials, processing, and manufacturing of components.</w:t>
      </w:r>
    </w:p>
    <w:p>
      <w:pPr>
        <w:numPr>
          <w:ilvl w:val="0"/>
          <w:numId w:val="1002"/>
        </w:numPr>
        <w:pStyle w:val="Compact"/>
      </w:pPr>
      <w:r>
        <w:rPr>
          <w:bCs/>
          <w:b/>
        </w:rPr>
        <w:t xml:space="preserve">Production/Manufacturing (Operational - Scope 1 &amp; 2):</w:t>
      </w:r>
      <w:r>
        <w:t xml:space="preserve"> </w:t>
      </w:r>
      <w:r>
        <w:t xml:space="preserve">Assembly, processing, and packaging activities at the</w:t>
      </w:r>
      <w:r>
        <w:t xml:space="preserve"> </w:t>
      </w:r>
      <w:r>
        <w:rPr>
          <w:bCs/>
          <w:b/>
        </w:rPr>
        <w:t xml:space="preserve">fzjwvuytih</w:t>
      </w:r>
      <w:r>
        <w:t xml:space="preserve"> </w:t>
      </w:r>
      <w:r>
        <w:t xml:space="preserve">facility in China.</w:t>
      </w:r>
    </w:p>
    <w:p>
      <w:pPr>
        <w:numPr>
          <w:ilvl w:val="0"/>
          <w:numId w:val="1002"/>
        </w:numPr>
        <w:pStyle w:val="Compact"/>
      </w:pPr>
      <w:r>
        <w:rPr>
          <w:bCs/>
          <w:b/>
        </w:rPr>
        <w:t xml:space="preserve">Transportation &amp; Distribution (Upstream &amp; Downstream - Scope 3):</w:t>
      </w:r>
      <w:r>
        <w:t xml:space="preserve"> </w:t>
      </w:r>
      <w:r>
        <w:t xml:space="preserve">Transport of raw materials/components to the factory (upstream) and transport of finished products to the customer (downstream).</w:t>
      </w:r>
    </w:p>
    <w:p>
      <w:pPr>
        <w:numPr>
          <w:ilvl w:val="0"/>
          <w:numId w:val="1002"/>
        </w:numPr>
        <w:pStyle w:val="Compact"/>
      </w:pPr>
      <w:r>
        <w:rPr>
          <w:bCs/>
          <w:b/>
        </w:rPr>
        <w:t xml:space="preserve">Use Phase (Downstream - Scope 3):</w:t>
      </w:r>
      <w:r>
        <w:t xml:space="preserve"> </w:t>
      </w:r>
      <w:r>
        <w:t xml:space="preserve">Energy consumption and other impacts during the product\'s lifespan.</w:t>
      </w:r>
    </w:p>
    <w:p>
      <w:pPr>
        <w:numPr>
          <w:ilvl w:val="0"/>
          <w:numId w:val="1002"/>
        </w:numPr>
        <w:pStyle w:val="Compact"/>
      </w:pPr>
      <w:r>
        <w:rPr>
          <w:bCs/>
          <w:b/>
        </w:rPr>
        <w:t xml:space="preserve">End-of-Life (Downstream - Scope 3):</w:t>
      </w:r>
      <w:r>
        <w:t xml:space="preserve"> </w:t>
      </w:r>
      <w:r>
        <w:t xml:space="preserve">Disposal, recycling, and recovery processes at the end of the product\'s life.</w:t>
      </w:r>
    </w:p>
    <w:p>
      <w:r>
        <w:pict>
          <v:rect style="width:0;height:1.5pt" o:hralign="center" o:hrstd="t" o:hr="t"/>
        </w:pict>
      </w:r>
    </w:p>
    <w:bookmarkEnd w:id="29"/>
    <w:bookmarkStart w:id="36" w:name="Xeb8f9812239bda4427a0069883df0154634bfaf"/>
    <w:p>
      <w:pPr>
        <w:pStyle w:val="Heading2"/>
      </w:pPr>
      <w:r>
        <w:t xml:space="preserve">3. Collecting Data (Primary and Secondary Data Points)</w:t>
      </w:r>
    </w:p>
    <w:p>
      <w:pPr>
        <w:pStyle w:val="FirstParagraph"/>
      </w:pPr>
      <w:r>
        <w:t xml:space="preserve">Data collection is a critical step, combining primary data from</w:t>
      </w:r>
      <w:r>
        <w:t xml:space="preserve"> </w:t>
      </w:r>
      <w:r>
        <w:rPr>
          <w:bCs/>
          <w:b/>
        </w:rPr>
        <w:t xml:space="preserve">fzjwvuytih</w:t>
      </w:r>
      <w:r>
        <w:t xml:space="preserve">\'s operations with secondary, industry-average data where primary data is unavailable or deemed less accurate.</w:t>
      </w:r>
    </w:p>
    <w:bookmarkStart w:id="30" w:name="X6929aacc7d40182f5986209f47f0e7f63a9850c"/>
    <w:p>
      <w:pPr>
        <w:pStyle w:val="Heading3"/>
      </w:pPr>
      <w:r>
        <w:t xml:space="preserve">3.1 Detailed Bill of Materials (BOM) Analysis for justiywkst (zvdlwdrk)</w:t>
      </w:r>
    </w:p>
    <w:p>
      <w:pPr>
        <w:pStyle w:val="FirstParagraph"/>
      </w:pPr>
      <w:r>
        <w:t xml:space="preserve">The provided Detailed Bill of Materials (zvdlwdrk) is used to calculate the material impact with high accuracy. The table below illustrates the structure and provides example data for calculation purposes. In a real scenario, the exact values from \'zvdlwdrk\' would be integrated.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Primary Production, Europe</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Recycled PET Plastic</w:t>
            </w:r>
          </w:p>
        </w:tc>
        <w:tc>
          <w:tcPr/>
          <w:p>
            <w:pPr>
              <w:pStyle w:val="Compact"/>
              <w:jc w:val="left"/>
            </w:pPr>
            <w:r>
              <w:t xml:space="preserve">Plastics</w:t>
            </w:r>
          </w:p>
        </w:tc>
        <w:tc>
          <w:tcPr/>
          <w:p>
            <w:pPr>
              <w:pStyle w:val="Compact"/>
              <w:jc w:val="left"/>
            </w:pPr>
            <w:r>
              <w:t xml:space="preserve">Granulation, Europe</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p>
            <w:pPr>
              <w:pStyle w:val="Compact"/>
              <w:jc w:val="left"/>
            </w:pPr>
            <w:r>
              <w:t xml:space="preserve">M003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Fabrication, China</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200.0</w:t>
            </w:r>
          </w:p>
        </w:tc>
        <w:tc>
          <w:tcPr/>
          <w:p>
            <w:pPr>
              <w:pStyle w:val="Compact"/>
              <w:jc w:val="left"/>
            </w:pPr>
            <w:r>
              <w:t xml:space="preserve">2.00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 Europe</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Recycled Pulp, China</w:t>
            </w:r>
          </w:p>
        </w:tc>
        <w:tc>
          <w:tcPr/>
          <w:p>
            <w:pPr>
              <w:pStyle w:val="Compact"/>
              <w:jc w:val="left"/>
            </w:pPr>
            <w:r>
              <w:t xml:space="preserve">0.1</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w:t>
            </w:r>
          </w:p>
        </w:tc>
      </w:tr>
      <w:tr>
        <w:tc>
          <w:tcPr/>
          <w:p>
            <w:pPr>
              <w:pStyle w:val="Compact"/>
              <w:jc w:val="left"/>
            </w:pPr>
            <w:r>
              <w:t xml:space="preserve">M006</w:t>
            </w:r>
          </w:p>
        </w:tc>
        <w:tc>
          <w:tcPr/>
          <w:p>
            <w:pPr>
              <w:pStyle w:val="Compact"/>
              <w:jc w:val="left"/>
            </w:pPr>
            <w:r>
              <w:t xml:space="preserve">Adhesive</w:t>
            </w:r>
          </w:p>
        </w:tc>
        <w:tc>
          <w:tcPr/>
          <w:p>
            <w:pPr>
              <w:pStyle w:val="Compact"/>
              <w:jc w:val="left"/>
            </w:pPr>
            <w:r>
              <w:t xml:space="preserve">Chemicals</w:t>
            </w:r>
          </w:p>
        </w:tc>
        <w:tc>
          <w:tcPr/>
          <w:p>
            <w:pPr>
              <w:pStyle w:val="Compact"/>
              <w:jc w:val="left"/>
            </w:pPr>
            <w:r>
              <w:t xml:space="preserve">Formulation, Europe</w:t>
            </w:r>
          </w:p>
        </w:tc>
        <w:tc>
          <w:tcPr/>
          <w:p>
            <w:pPr>
              <w:pStyle w:val="Compact"/>
              <w:jc w:val="left"/>
            </w:pPr>
            <w:r>
              <w:t xml:space="preserve">0.02</w:t>
            </w:r>
          </w:p>
        </w:tc>
        <w:tc>
          <w:tcPr/>
          <w:p>
            <w:pPr>
              <w:pStyle w:val="Compact"/>
              <w:jc w:val="left"/>
            </w:pPr>
            <w:r>
              <w:t xml:space="preserve">kg</w:t>
            </w:r>
          </w:p>
        </w:tc>
        <w:tc>
          <w:tcPr/>
          <w:p>
            <w:pPr>
              <w:pStyle w:val="Compact"/>
              <w:jc w:val="left"/>
            </w:pPr>
            <w:r>
              <w:t xml:space="preserve">7.0</w:t>
            </w:r>
          </w:p>
        </w:tc>
        <w:tc>
          <w:tcPr/>
          <w:p>
            <w:pPr>
              <w:pStyle w:val="Compact"/>
              <w:jc w:val="left"/>
            </w:pPr>
            <w:r>
              <w:t xml:space="preserve">0.14</w:t>
            </w:r>
          </w:p>
        </w:tc>
      </w:tr>
    </w:tbl>
    <w:p>
      <w:pPr>
        <w:pStyle w:val="BodyText"/>
      </w:pPr>
      <w:r>
        <w:rPr>
          <w:iCs/>
          <w:i/>
        </w:rPr>
        <w:t xml:space="preserve">Note: The "Total Carbon" in the BOM is used for initial data integrity check; the final calculations are based on Activity * Emission Factor for consistency.</w:t>
      </w:r>
    </w:p>
    <w:bookmarkEnd w:id="30"/>
    <w:bookmarkStart w:id="31" w:name="energy-inputs-for-production-phase"/>
    <w:p>
      <w:pPr>
        <w:pStyle w:val="Heading3"/>
      </w:pPr>
      <w:r>
        <w:t xml:space="preserve">3.2 Energy Inputs for Production Phase</w:t>
      </w:r>
    </w:p>
    <w:p>
      <w:pPr>
        <w:numPr>
          <w:ilvl w:val="0"/>
          <w:numId w:val="1003"/>
        </w:numPr>
        <w:pStyle w:val="Compact"/>
      </w:pPr>
      <w:r>
        <w:rPr>
          <w:bCs/>
          <w:b/>
        </w:rPr>
        <w:t xml:space="preserve">Renewable Energy Usage:</w:t>
      </w:r>
      <w:r>
        <w:t xml:space="preserve"> </w:t>
      </w:r>
      <w:r>
        <w:t xml:space="preserve">dzvyrtjdop% (e.g., 65%) of electricity consumed in the production facility is sourced from renewable energy.</w:t>
      </w:r>
    </w:p>
    <w:p>
      <w:pPr>
        <w:numPr>
          <w:ilvl w:val="0"/>
          <w:numId w:val="1003"/>
        </w:numPr>
        <w:pStyle w:val="Compact"/>
      </w:pPr>
      <w:r>
        <w:rPr>
          <w:bCs/>
          <w:b/>
        </w:rPr>
        <w:t xml:space="preserve">Energy Intensity (kWh/unit):</w:t>
      </w:r>
      <w:r>
        <w:t xml:space="preserve"> </w:t>
      </w:r>
      <w:r>
        <w:t xml:space="preserve">xrxthzzzlm kWh/unit (e.g., 5.0 kWh/unit) of electricity is consumed during the production of one unit of justiywkst.</w:t>
      </w:r>
    </w:p>
    <w:bookmarkEnd w:id="31"/>
    <w:bookmarkStart w:id="32" w:name="logistics-data-for-supply-chain-analysis"/>
    <w:p>
      <w:pPr>
        <w:pStyle w:val="Heading3"/>
      </w:pPr>
      <w:r>
        <w:t xml:space="preserve">3.3 Logistics Data for Supply Chain Analysis</w:t>
      </w:r>
    </w:p>
    <w:p>
      <w:pPr>
        <w:numPr>
          <w:ilvl w:val="0"/>
          <w:numId w:val="1004"/>
        </w:numPr>
        <w:pStyle w:val="Compact"/>
      </w:pPr>
      <w:r>
        <w:rPr>
          <w:bCs/>
          <w:b/>
        </w:rPr>
        <w:t xml:space="preserve">Upstream Transport Mode:</w:t>
      </w:r>
      <w:r>
        <w:t xml:space="preserve"> </w:t>
      </w:r>
      <w:r>
        <w:t xml:space="preserve">Select Mode (e.g., Sea Freight for bulk materials, Road Freight for regional components).</w:t>
      </w:r>
    </w:p>
    <w:p>
      <w:pPr>
        <w:numPr>
          <w:ilvl w:val="0"/>
          <w:numId w:val="1004"/>
        </w:numPr>
        <w:pStyle w:val="Compact"/>
      </w:pPr>
      <w:r>
        <w:rPr>
          <w:bCs/>
          <w:b/>
        </w:rPr>
        <w:t xml:space="preserve">Upstream Transport Distance:</w:t>
      </w:r>
      <w:r>
        <w:t xml:space="preserve"> </w:t>
      </w:r>
      <w:r>
        <w:t xml:space="preserve">yfqtgmxxjm (e.g., 8,000 km for sea freight, 500 km for road freight).</w:t>
      </w:r>
    </w:p>
    <w:p>
      <w:pPr>
        <w:numPr>
          <w:ilvl w:val="0"/>
          <w:numId w:val="1004"/>
        </w:numPr>
        <w:pStyle w:val="Compact"/>
      </w:pPr>
      <w:r>
        <w:rPr>
          <w:bCs/>
          <w:b/>
        </w:rPr>
        <w:t xml:space="preserve">Last-Mile Delivery Channel (Downstream):</w:t>
      </w:r>
      <w:r>
        <w:t xml:space="preserve"> </w:t>
      </w:r>
      <w:r>
        <w:t xml:space="preserve">Delivery Type (e.g., Road Parcel Service).</w:t>
      </w:r>
    </w:p>
    <w:p>
      <w:pPr>
        <w:numPr>
          <w:ilvl w:val="0"/>
          <w:numId w:val="1004"/>
        </w:numPr>
        <w:pStyle w:val="Compact"/>
      </w:pPr>
      <w:r>
        <w:rPr>
          <w:bCs/>
          <w:b/>
        </w:rPr>
        <w:t xml:space="preserve">Downstream Transport Distance (illustrative):</w:t>
      </w:r>
      <w:r>
        <w:t xml:space="preserve"> </w:t>
      </w:r>
      <w:r>
        <w:t xml:space="preserve">1,500 km (average for European distribution).</w:t>
      </w:r>
    </w:p>
    <w:bookmarkEnd w:id="32"/>
    <w:bookmarkStart w:id="33"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proqdnfmoy (e.g., 5 years)</w:t>
      </w:r>
    </w:p>
    <w:p>
      <w:pPr>
        <w:numPr>
          <w:ilvl w:val="0"/>
          <w:numId w:val="1005"/>
        </w:numPr>
        <w:pStyle w:val="Compact"/>
      </w:pPr>
      <w:r>
        <w:rPr>
          <w:bCs/>
          <w:b/>
        </w:rPr>
        <w:t xml:space="preserve">Energy Consumption in Use:</w:t>
      </w:r>
      <w:r>
        <w:t xml:space="preserve"> </w:t>
      </w:r>
      <w:r>
        <w:t xml:space="preserve">qxjmetulem (e.g., 10 kWh/year)</w:t>
      </w:r>
    </w:p>
    <w:bookmarkEnd w:id="33"/>
    <w:bookmarkStart w:id="34" w:name="end-of-life-eol-scenarios"/>
    <w:p>
      <w:pPr>
        <w:pStyle w:val="Heading3"/>
      </w:pPr>
      <w:r>
        <w:t xml:space="preserve">3.5 End-of-Life (EoL) Scenarios</w:t>
      </w:r>
    </w:p>
    <w:p>
      <w:pPr>
        <w:numPr>
          <w:ilvl w:val="0"/>
          <w:numId w:val="1006"/>
        </w:numPr>
        <w:pStyle w:val="Compact"/>
      </w:pPr>
      <w:r>
        <w:rPr>
          <w:bCs/>
          <w:b/>
        </w:rPr>
        <w:t xml:space="preserve">Recyclability Percentage:</w:t>
      </w:r>
      <w:r>
        <w:t xml:space="preserve"> </w:t>
      </w:r>
      <w:r>
        <w:t xml:space="preserve">xqxtfgkugd% (e.g., 70%) of the product\'s mass is recyclable.</w:t>
      </w:r>
    </w:p>
    <w:p>
      <w:pPr>
        <w:numPr>
          <w:ilvl w:val="0"/>
          <w:numId w:val="1006"/>
        </w:numPr>
        <w:pStyle w:val="Compact"/>
      </w:pPr>
      <w:r>
        <w:rPr>
          <w:bCs/>
          <w:b/>
        </w:rPr>
        <w:t xml:space="preserve">Circular/Take-back Programs:</w:t>
      </w:r>
      <w:r>
        <w:t xml:space="preserve"> </w:t>
      </w:r>
      <w:r>
        <w:t xml:space="preserve">erwqskjulm (e.g., "Active consumer take-back program in key European markets"). The presence of such programs reduces EoL impacts through increased material recovery and reuse.</w:t>
      </w:r>
    </w:p>
    <w:bookmarkEnd w:id="34"/>
    <w:bookmarkStart w:id="35" w:name="emission-factors"/>
    <w:p>
      <w:pPr>
        <w:pStyle w:val="Heading3"/>
      </w:pPr>
      <w:r>
        <w:t xml:space="preserve">3.6 Emission Factors</w:t>
      </w:r>
    </w:p>
    <w:p>
      <w:pPr>
        <w:pStyle w:val="FirstParagraph"/>
      </w:pPr>
      <w:r>
        <w:t xml:space="preserve">Industry-standard emission factors (EFs) are crucial for converting activity data into CO2e emissions. For this analysis, EFs are drawn from reputable databases such as Ecoinvent and DEFRA. These databases provide comprehensive life cycle inventory data, including regional and global average GHG emission factors, and are vital for calculating Scope 3 emissions. The choice of specific emission factor values considers the geographic scope (e.g., Chinese electricity mix for production, European logistics EFs) and the specific material and process.</w:t>
      </w:r>
    </w:p>
    <w:p>
      <w:r>
        <w:pict>
          <v:rect style="width:0;height:1.5pt" o:hralign="center" o:hrstd="t" o:hr="t"/>
        </w:pict>
      </w:r>
    </w:p>
    <w:bookmarkEnd w:id="35"/>
    <w:bookmarkEnd w:id="36"/>
    <w:bookmarkStart w:id="50" w:name="X3720d7d0541b3a6e3c473bd4daa188ddb828856"/>
    <w:p>
      <w:pPr>
        <w:pStyle w:val="Heading2"/>
      </w:pPr>
      <w:r>
        <w:t xml:space="preserve">4. Calculating Emissions (Activity * Emission Factor = CO2e)</w:t>
      </w:r>
    </w:p>
    <w:p>
      <w:pPr>
        <w:pStyle w:val="FirstParagraph"/>
      </w:pPr>
      <w:r>
        <w:t xml:space="preserve">Emissions are calculated for each lifecycle stage and categorized according to the GHG Protocol\'s Scope 1, Scope 2, and Scope 3 definitions. All emissions are reported in kilograms of Carbon Dioxide equivalent (kg CO2e).</w:t>
      </w:r>
    </w:p>
    <w:p>
      <w:pPr>
        <w:pStyle w:val="BodyText"/>
      </w:pPr>
      <w:r>
        <w:t xml:space="preserve">The 2026 LSR Update requires accounting for land sector emissions and removals. While specific land use data for \'justiywkst\' is not provided, this report acknowledges its importance and assumes that any land-related emissions (e.g., from agricultural raw materials) would be incorporated into Scope 3 (Purchased Goods and Services) as per the LSR Standard which takes effect on January 1, 2027. The LSR Standard provides methods to quantify, report, and track land emissions, CO2 removals, and other key metrics.</w:t>
      </w:r>
    </w:p>
    <w:bookmarkStart w:id="37" w:name="scope-1-emissions-direct-emissions"/>
    <w:p>
      <w:pPr>
        <w:pStyle w:val="Heading3"/>
      </w:pPr>
      <w:r>
        <w:t xml:space="preserve">4.1 Scope 1 Emissions (Direct Emissions)</w:t>
      </w:r>
    </w:p>
    <w:p>
      <w:pPr>
        <w:pStyle w:val="FirstParagraph"/>
      </w:pPr>
      <w:r>
        <w:t xml:space="preserve">These emissions arise from sources owned or controlled by</w:t>
      </w:r>
      <w:r>
        <w:t xml:space="preserve"> </w:t>
      </w:r>
      <w:r>
        <w:rPr>
          <w:bCs/>
          <w:b/>
        </w:rPr>
        <w:t xml:space="preserve">fzjwvuytih</w:t>
      </w:r>
      <w:r>
        <w:t xml:space="preserve">. For a "factory_gate" system boundary, these would typically include on-site fuel combustion for heating or process energy not covered by purchased electricity, and any direct process emissions.</w:t>
      </w:r>
    </w:p>
    <w:p>
      <w:pPr>
        <w:numPr>
          <w:ilvl w:val="0"/>
          <w:numId w:val="1007"/>
        </w:numPr>
        <w:pStyle w:val="Compact"/>
      </w:pPr>
      <w:r>
        <w:rPr>
          <w:bCs/>
          <w:b/>
        </w:rPr>
        <w:t xml:space="preserve">Illustrative Example:</w:t>
      </w:r>
      <w:r>
        <w:t xml:space="preserve"> </w:t>
      </w:r>
      <w:r>
        <w:t xml:space="preserve">Minor on-site natural gas consumption for auxiliary heating.</w:t>
      </w:r>
    </w:p>
    <w:p>
      <w:pPr>
        <w:pStyle w:val="FirstParagraph"/>
      </w:pPr>
      <w:r>
        <w:t xml:space="preserve">Assuming minimal direct combustion and no major process emissions directly controlled by fzjwvuytih for justiywkst beyond electricity consumption for the defined factory_gate boundary:</w:t>
      </w:r>
    </w:p>
    <w:p>
      <w:pPr>
        <w:pStyle w:val="BodyText"/>
      </w:pPr>
      <w:r>
        <w:rPr>
          <w:bCs/>
          <w:b/>
        </w:rPr>
        <w:t xml:space="preserve">Total Scope 1 Emissions (Illustrative):</w:t>
      </w:r>
      <w:r>
        <w:t xml:space="preserve"> </w:t>
      </w:r>
      <w:r>
        <w:t xml:space="preserve">0.10 kg CO2e / unit</w:t>
      </w:r>
    </w:p>
    <w:bookmarkEnd w:id="37"/>
    <w:bookmarkStart w:id="38" w:name="X1bd5ed5ba51603fe7fc5fd46de6dc3081dfffbb"/>
    <w:p>
      <w:pPr>
        <w:pStyle w:val="Heading3"/>
      </w:pPr>
      <w:r>
        <w:t xml:space="preserve">4.2 Scope 2 Emissions (Indirect Emissions from Purchased Energy)</w:t>
      </w:r>
    </w:p>
    <w:p>
      <w:pPr>
        <w:pStyle w:val="FirstParagraph"/>
      </w:pPr>
      <w:r>
        <w:t xml:space="preserve">These are indirect emissions from the generation of purchased electricity, steam, heat, or cooling consumed by</w:t>
      </w:r>
      <w:r>
        <w:t xml:space="preserve"> </w:t>
      </w:r>
      <w:r>
        <w:rPr>
          <w:bCs/>
          <w:b/>
        </w:rPr>
        <w:t xml:space="preserve">fzjwvuytih</w:t>
      </w:r>
      <w:r>
        <w:t xml:space="preserve">\'s production facility.</w:t>
      </w:r>
    </w:p>
    <w:p>
      <w:pPr>
        <w:numPr>
          <w:ilvl w:val="0"/>
          <w:numId w:val="1008"/>
        </w:numPr>
        <w:pStyle w:val="Compact"/>
      </w:pPr>
      <w:r>
        <w:rPr>
          <w:bCs/>
          <w:b/>
        </w:rPr>
        <w:t xml:space="preserve">Energy Intensity:</w:t>
      </w:r>
      <w:r>
        <w:t xml:space="preserve"> </w:t>
      </w:r>
      <w:r>
        <w:t xml:space="preserve">5.0 kWh/unit (xrxthzzzlm)</w:t>
      </w:r>
    </w:p>
    <w:p>
      <w:pPr>
        <w:numPr>
          <w:ilvl w:val="0"/>
          <w:numId w:val="1008"/>
        </w:numPr>
        <w:pStyle w:val="Compact"/>
      </w:pPr>
      <w:r>
        <w:rPr>
          <w:bCs/>
          <w:b/>
        </w:rPr>
        <w:t xml:space="preserve">Renewable Energy Usage:</w:t>
      </w:r>
      <w:r>
        <w:t xml:space="preserve"> </w:t>
      </w:r>
      <w:r>
        <w:t xml:space="preserve">65% (dzvyrtjdop)</w:t>
      </w:r>
    </w:p>
    <w:p>
      <w:pPr>
        <w:numPr>
          <w:ilvl w:val="0"/>
          <w:numId w:val="1008"/>
        </w:numPr>
        <w:pStyle w:val="Compact"/>
      </w:pPr>
      <w:r>
        <w:rPr>
          <w:bCs/>
          <w:b/>
        </w:rPr>
        <w:t xml:space="preserve">Non-renewable Electricity:</w:t>
      </w:r>
      <w:r>
        <w:t xml:space="preserve"> </w:t>
      </w:r>
      <w:r>
        <w:t xml:space="preserve">5.0 kWh/unit * (1 - 0.65) = 1.75 kWh/unit</w:t>
      </w:r>
    </w:p>
    <w:p>
      <w:pPr>
        <w:numPr>
          <w:ilvl w:val="0"/>
          <w:numId w:val="1008"/>
        </w:numPr>
        <w:pStyle w:val="Compact"/>
      </w:pPr>
      <w:r>
        <w:rPr>
          <w:bCs/>
          <w:b/>
        </w:rPr>
        <w:t xml:space="preserve">China Electricity Grid Emission Factor (Illustrative):</w:t>
      </w:r>
      <w:r>
        <w:t xml:space="preserve"> </w:t>
      </w:r>
      <w:r>
        <w:t xml:space="preserve">0.6 kg CO2e/kWh (secondary data from Ecoinvent/DEFRA for China\'s average grid mix).</w:t>
      </w:r>
    </w:p>
    <w:p>
      <w:pPr>
        <w:pStyle w:val="FirstParagraph"/>
      </w:pPr>
      <w:r>
        <w:rPr>
          <w:bCs/>
          <w:b/>
        </w:rPr>
        <w:t xml:space="preserve">Calculation:</w:t>
      </w:r>
      <w:r>
        <w:t xml:space="preserve"> </w:t>
      </w:r>
      <w:r>
        <w:t xml:space="preserve">1.75 kWh/unit * 0.6 kg CO2e/kWh = 1.05 kg CO2e/unit</w:t>
      </w:r>
    </w:p>
    <w:p>
      <w:pPr>
        <w:pStyle w:val="BodyText"/>
      </w:pPr>
      <w:r>
        <w:rPr>
          <w:bCs/>
          <w:b/>
        </w:rPr>
        <w:t xml:space="preserve">Total Scope 2 Emissions:</w:t>
      </w:r>
      <w:r>
        <w:t xml:space="preserve"> </w:t>
      </w:r>
      <w:r>
        <w:t xml:space="preserve">1.05 kg CO2e / unit</w:t>
      </w:r>
    </w:p>
    <w:bookmarkEnd w:id="38"/>
    <w:bookmarkStart w:id="47" w:name="scope-3-emissions-value-chain-emissions"/>
    <w:p>
      <w:pPr>
        <w:pStyle w:val="Heading3"/>
      </w:pPr>
      <w:r>
        <w:t xml:space="preserve">4.3 Scope 3 Emissions (Value Chain Emissions)</w:t>
      </w:r>
    </w:p>
    <w:p>
      <w:pPr>
        <w:pStyle w:val="FirstParagraph"/>
      </w:pPr>
      <w:r>
        <w:t xml:space="preserve">These are all other indirect emissions that occur in the value chain of</w:t>
      </w:r>
      <w:r>
        <w:t xml:space="preserve"> </w:t>
      </w:r>
      <w:r>
        <w:rPr>
          <w:bCs/>
          <w:b/>
        </w:rPr>
        <w:t xml:space="preserve">fzjwvuytih</w:t>
      </w:r>
      <w:r>
        <w:t xml:space="preserve">, both upstream and downstream. The GHG Protocol divides Scope 3 into 15 categories. This analysis aims for at least 95% coverage as per 2026 requirements.</w:t>
      </w:r>
    </w:p>
    <w:bookmarkStart w:id="41" w:name="upstream-emissions"/>
    <w:p>
      <w:pPr>
        <w:pStyle w:val="Heading4"/>
      </w:pPr>
      <w:r>
        <w:t xml:space="preserve">4.3.1 Upstream Emissions</w:t>
      </w:r>
    </w:p>
    <w:bookmarkStart w:id="39" w:name="X6ec1a8d39c2d1fbbf5514158d1858b4dc5104a7"/>
    <w:p>
      <w:pPr>
        <w:pStyle w:val="Heading5"/>
      </w:pPr>
      <w:r>
        <w:t xml:space="preserve">Purchased Goods and Services (Materials - Category 1)</w:t>
      </w:r>
    </w:p>
    <w:p>
      <w:pPr>
        <w:pStyle w:val="FirstParagraph"/>
      </w:pPr>
      <w:r>
        <w:t xml:space="preserve">Using the illustrative BOM data: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(kg/unit)</w:t>
            </w:r>
          </w:p>
        </w:tc>
        <w:tc>
          <w:tcPr/>
          <w:p>
            <w:pPr>
              <w:pStyle w:val="Compact"/>
              <w:jc w:val="left"/>
            </w:pPr>
            <w:r>
              <w:t xml:space="preserve">Emission Factor (kg CO2e/kg)</w:t>
            </w:r>
          </w:p>
        </w:tc>
        <w:tc>
          <w:tcPr/>
          <w:p>
            <w:pPr>
              <w:pStyle w:val="Compact"/>
              <w:jc w:val="left"/>
            </w:pPr>
            <w:r>
              <w:t xml:space="preserve">Total CO2e (kg CO2e/unit)</w:t>
            </w:r>
          </w:p>
        </w:tc>
      </w:tr>
      <w:tr>
        <w:tc>
          <w:tcPr/>
          <w:p>
            <w:pPr>
              <w:pStyle w:val="Compact"/>
              <w:jc w:val="left"/>
            </w:pPr>
            <w:r>
              <w:t xml:space="preserve">Aluminum Alloy</w:t>
            </w:r>
          </w:p>
        </w:tc>
        <w:tc>
          <w:tcPr/>
          <w:p>
            <w:pPr>
              <w:pStyle w:val="Compact"/>
              <w:jc w:val="left"/>
            </w:pPr>
            <w:r>
              <w:t xml:space="preserve">0.5</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Recycled PET Plastic</w:t>
            </w:r>
          </w:p>
        </w:tc>
        <w:tc>
          <w:tcPr/>
          <w:p>
            <w:pPr>
              <w:pStyle w:val="Compact"/>
              <w:jc w:val="left"/>
            </w:pPr>
            <w:r>
              <w:t xml:space="preserve">0.2</w:t>
            </w:r>
          </w:p>
        </w:tc>
        <w:tc>
          <w:tcPr/>
          <w:p>
            <w:pPr>
              <w:pStyle w:val="Compact"/>
              <w:jc w:val="left"/>
            </w:pPr>
            <w:r>
              <w:t xml:space="preserve">1.5</w:t>
            </w:r>
          </w:p>
        </w:tc>
        <w:tc>
          <w:tcPr/>
          <w:p>
            <w:pPr>
              <w:pStyle w:val="Compact"/>
              <w:jc w:val="left"/>
            </w:pPr>
            <w:r>
              <w:t xml:space="preserve">0.30</w:t>
            </w:r>
          </w:p>
        </w:tc>
      </w:tr>
      <w:tr>
        <w:tc>
          <w:tcPr/>
          <w:p>
            <w:pPr>
              <w:pStyle w:val="Compact"/>
              <w:jc w:val="left"/>
            </w:pPr>
            <w:r>
              <w:t xml:space="preserve">Silicon Chip</w:t>
            </w:r>
          </w:p>
        </w:tc>
        <w:tc>
          <w:tcPr/>
          <w:p>
            <w:pPr>
              <w:pStyle w:val="Compact"/>
              <w:jc w:val="left"/>
            </w:pPr>
            <w:r>
              <w:t xml:space="preserve">0.01</w:t>
            </w:r>
          </w:p>
        </w:tc>
        <w:tc>
          <w:tcPr/>
          <w:p>
            <w:pPr>
              <w:pStyle w:val="Compact"/>
              <w:jc w:val="left"/>
            </w:pPr>
            <w:r>
              <w:t xml:space="preserve">200.0</w:t>
            </w:r>
          </w:p>
        </w:tc>
        <w:tc>
          <w:tcPr/>
          <w:p>
            <w:pPr>
              <w:pStyle w:val="Compact"/>
              <w:jc w:val="left"/>
            </w:pPr>
            <w:r>
              <w:t xml:space="preserve">2.00</w:t>
            </w:r>
          </w:p>
        </w:tc>
      </w:tr>
      <w:tr>
        <w:tc>
          <w:tcPr/>
          <w:p>
            <w:pPr>
              <w:pStyle w:val="Compact"/>
              <w:jc w:val="left"/>
            </w:pPr>
            <w:r>
              <w:t xml:space="preserve">Copper Wire</w:t>
            </w:r>
          </w:p>
        </w:tc>
        <w:tc>
          <w:tcPr/>
          <w:p>
            <w:pPr>
              <w:pStyle w:val="Compact"/>
              <w:jc w:val="left"/>
            </w:pPr>
            <w:r>
              <w:t xml:space="preserve">0.05</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Packaging Cardboard</w:t>
            </w:r>
          </w:p>
        </w:tc>
        <w:tc>
          <w:tcPr/>
          <w:p>
            <w:pPr>
              <w:pStyle w:val="Compact"/>
              <w:jc w:val="left"/>
            </w:pPr>
            <w:r>
              <w:t xml:space="preserve">0.1</w:t>
            </w:r>
          </w:p>
        </w:tc>
        <w:tc>
          <w:tcPr/>
          <w:p>
            <w:pPr>
              <w:pStyle w:val="Compact"/>
              <w:jc w:val="left"/>
            </w:pPr>
            <w:r>
              <w:t xml:space="preserve">0.5</w:t>
            </w:r>
          </w:p>
        </w:tc>
        <w:tc>
          <w:tcPr/>
          <w:p>
            <w:pPr>
              <w:pStyle w:val="Compact"/>
              <w:jc w:val="left"/>
            </w:pPr>
            <w:r>
              <w:t xml:space="preserve">0.05</w:t>
            </w:r>
          </w:p>
        </w:tc>
      </w:tr>
      <w:tr>
        <w:tc>
          <w:tcPr/>
          <w:p>
            <w:pPr>
              <w:pStyle w:val="Compact"/>
              <w:jc w:val="left"/>
            </w:pPr>
            <w:r>
              <w:t xml:space="preserve">Adhesive</w:t>
            </w:r>
          </w:p>
        </w:tc>
        <w:tc>
          <w:tcPr/>
          <w:p>
            <w:pPr>
              <w:pStyle w:val="Compact"/>
              <w:jc w:val="left"/>
            </w:pPr>
            <w:r>
              <w:t xml:space="preserve">0.02</w:t>
            </w:r>
          </w:p>
        </w:tc>
        <w:tc>
          <w:tcPr/>
          <w:p>
            <w:pPr>
              <w:pStyle w:val="Compact"/>
              <w:jc w:val="left"/>
            </w:pPr>
            <w:r>
              <w:t xml:space="preserve">7.0</w:t>
            </w:r>
          </w:p>
        </w:tc>
        <w:tc>
          <w:tcPr/>
          <w:p>
            <w:pPr>
              <w:pStyle w:val="Compact"/>
              <w:jc w:val="left"/>
            </w:pPr>
            <w:r>
              <w:t xml:space="preserve">0.14</w:t>
            </w:r>
          </w:p>
        </w:tc>
      </w:tr>
      <w:tr>
        <w:tc>
          <w:tcPr>
            <w:gridSpan w:val="3"/>
          </w:tcPr>
          <w:p>
            <w:pPr>
              <w:pStyle w:val="Compact"/>
              <w:jc w:val="right"/>
            </w:pPr>
            <w:r>
              <w:rPr>
                <w:bCs/>
                <w:b/>
              </w:rPr>
              <w:t xml:space="preserve">Subtotal Materials:</w:t>
            </w:r>
          </w:p>
        </w:tc>
        <w:tc>
          <w:tcPr/>
          <w:p>
            <w:pPr>
              <w:pStyle w:val="Compact"/>
              <w:jc w:val="left"/>
            </w:pPr>
            <w:r>
              <w:rPr>
                <w:bCs/>
                <w:b/>
              </w:rPr>
              <w:t xml:space="preserve">6.64</w:t>
            </w:r>
          </w:p>
        </w:tc>
      </w:tr>
    </w:tbl>
    <w:bookmarkEnd w:id="39"/>
    <w:bookmarkStart w:id="40" w:name="X1ba14597aa58affb2f1bc7a69940c64f4addd9d"/>
    <w:p>
      <w:pPr>
        <w:pStyle w:val="Heading5"/>
      </w:pPr>
      <w:r>
        <w:t xml:space="preserve">Upstream Transportation and Distribution (Category 4)</w:t>
      </w:r>
    </w:p>
    <w:p>
      <w:pPr>
        <w:numPr>
          <w:ilvl w:val="0"/>
          <w:numId w:val="1009"/>
        </w:numPr>
        <w:pStyle w:val="Compact"/>
      </w:pPr>
      <w:r>
        <w:rPr>
          <w:bCs/>
          <w:b/>
        </w:rPr>
        <w:t xml:space="preserve">Illustrative Scenario:</w:t>
      </w:r>
      <w:r>
        <w:t xml:space="preserve"> </w:t>
      </w:r>
      <w:r>
        <w:t xml:space="preserve">Average of 8,000 km for raw material components (e.g., sea freight from Europe to China), 500 km for regional components (e.g., road freight in China).</w:t>
      </w:r>
    </w:p>
    <w:p>
      <w:pPr>
        <w:numPr>
          <w:ilvl w:val="0"/>
          <w:numId w:val="1009"/>
        </w:numPr>
        <w:pStyle w:val="Compact"/>
      </w:pPr>
      <w:r>
        <w:rPr>
          <w:bCs/>
          <w:b/>
        </w:rPr>
        <w:t xml:space="preserve">Total Mass per unit:</w:t>
      </w:r>
      <w:r>
        <w:t xml:space="preserve"> </w:t>
      </w:r>
      <w:r>
        <w:t xml:space="preserve">~0.9 kg (sum of BOM quantities)</w:t>
      </w:r>
    </w:p>
    <w:p>
      <w:pPr>
        <w:pStyle w:val="FirstParagraph"/>
      </w:pPr>
      <w:r>
        <w:t xml:space="preserve">Assuming average emission factors for \'Select Mode\' (e.g., Sea Freight EF: 0.01 kg CO2e/tonne-km; Road Freight EF: 0.09 kg CO2e/tonne-km) and \'yfqtgmxxjm\' distance.</w:t>
      </w:r>
    </w:p>
    <w:p>
      <w:pPr>
        <w:pStyle w:val="BodyText"/>
      </w:pPr>
      <w:r>
        <w:rPr>
          <w:bCs/>
          <w:b/>
        </w:rPr>
        <w:t xml:space="preserve">Calculation (Illustrative):</w:t>
      </w:r>
    </w:p>
    <w:p>
      <w:pPr>
        <w:numPr>
          <w:ilvl w:val="0"/>
          <w:numId w:val="1010"/>
        </w:numPr>
        <w:pStyle w:val="Compact"/>
      </w:pPr>
      <w:r>
        <w:t xml:space="preserve">Sea Freight (0.8 kg for 8000 km): (0.8 kg / 1000) * 8000 km * 0.01 kg CO2e/tonne-km = 0.064 kg CO2e</w:t>
      </w:r>
    </w:p>
    <w:p>
      <w:pPr>
        <w:numPr>
          <w:ilvl w:val="0"/>
          <w:numId w:val="1010"/>
        </w:numPr>
        <w:pStyle w:val="Compact"/>
      </w:pPr>
      <w:r>
        <w:t xml:space="preserve">Road Freight (0.1 kg for 500 km): (0.1 kg / 1000) * 500 km * 0.09 kg CO2e/tonne-km = 0.0045 kg CO2e</w:t>
      </w:r>
    </w:p>
    <w:p>
      <w:pPr>
        <w:pStyle w:val="FirstParagraph"/>
      </w:pPr>
      <w:r>
        <w:rPr>
          <w:bCs/>
          <w:b/>
        </w:rPr>
        <w:t xml:space="preserve">Subtotal Upstream Transport:</w:t>
      </w:r>
      <w:r>
        <w:t xml:space="preserve"> </w:t>
      </w:r>
      <w:r>
        <w:t xml:space="preserve">~0.069 kg CO2e / unit</w:t>
      </w:r>
    </w:p>
    <w:bookmarkEnd w:id="40"/>
    <w:bookmarkEnd w:id="41"/>
    <w:bookmarkStart w:id="45" w:name="downstream-emissions"/>
    <w:p>
      <w:pPr>
        <w:pStyle w:val="Heading4"/>
      </w:pPr>
      <w:r>
        <w:t xml:space="preserve">4.3.2 Downstream Emissions</w:t>
      </w:r>
    </w:p>
    <w:bookmarkStart w:id="42" w:name="X4a4e8e3b229fc696037344f6caf20042bf5cbd8"/>
    <w:p>
      <w:pPr>
        <w:pStyle w:val="Heading5"/>
      </w:pPr>
      <w:r>
        <w:t xml:space="preserve">Downstream Transportation and Distribution (Category 9)</w:t>
      </w:r>
    </w:p>
    <w:p>
      <w:pPr>
        <w:numPr>
          <w:ilvl w:val="0"/>
          <w:numId w:val="1011"/>
        </w:numPr>
        <w:pStyle w:val="Compact"/>
      </w:pPr>
      <w:r>
        <w:rPr>
          <w:bCs/>
          <w:b/>
        </w:rPr>
        <w:t xml:space="preserve">Last-Mile Delivery Channel:</w:t>
      </w:r>
      <w:r>
        <w:t xml:space="preserve"> </w:t>
      </w:r>
      <w:r>
        <w:t xml:space="preserve">Delivery Type (e.g., Road Parcel Service).</w:t>
      </w:r>
    </w:p>
    <w:p>
      <w:pPr>
        <w:numPr>
          <w:ilvl w:val="0"/>
          <w:numId w:val="1011"/>
        </w:numPr>
        <w:pStyle w:val="Compact"/>
      </w:pPr>
      <w:r>
        <w:rPr>
          <w:bCs/>
          <w:b/>
        </w:rPr>
        <w:t xml:space="preserve">Illustrative Distance:</w:t>
      </w:r>
      <w:r>
        <w:t xml:space="preserve"> </w:t>
      </w:r>
      <w:r>
        <w:t xml:space="preserve">1,500 km (average for European distribution).</w:t>
      </w:r>
    </w:p>
    <w:p>
      <w:pPr>
        <w:numPr>
          <w:ilvl w:val="0"/>
          <w:numId w:val="1011"/>
        </w:numPr>
        <w:pStyle w:val="Compact"/>
      </w:pPr>
      <w:r>
        <w:rPr>
          <w:bCs/>
          <w:b/>
        </w:rPr>
        <w:t xml:space="preserve">Total Mass per unit:</w:t>
      </w:r>
      <w:r>
        <w:t xml:space="preserve"> </w:t>
      </w:r>
      <w:r>
        <w:t xml:space="preserve">~1.0 kg (product + packaging).</w:t>
      </w:r>
    </w:p>
    <w:p>
      <w:pPr>
        <w:pStyle w:val="FirstParagraph"/>
      </w:pPr>
      <w:r>
        <w:t xml:space="preserve">Assuming Road Parcel Service EF: 0.15 kg CO2e/tonne-km.</w:t>
      </w:r>
    </w:p>
    <w:p>
      <w:pPr>
        <w:pStyle w:val="BodyText"/>
      </w:pPr>
      <w:r>
        <w:rPr>
          <w:bCs/>
          <w:b/>
        </w:rPr>
        <w:t xml:space="preserve">Calculation (Illustrative):</w:t>
      </w:r>
      <w:r>
        <w:t xml:space="preserve"> </w:t>
      </w:r>
      <w:r>
        <w:t xml:space="preserve">(1.0 kg / 1000) * 1500 km * 0.15 kg CO2e/tonne-km = 0.225 kg CO2e / unit</w:t>
      </w:r>
    </w:p>
    <w:p>
      <w:pPr>
        <w:pStyle w:val="BodyText"/>
      </w:pPr>
      <w:r>
        <w:rPr>
          <w:bCs/>
          <w:b/>
        </w:rPr>
        <w:t xml:space="preserve">Subtotal Downstream Transport:</w:t>
      </w:r>
      <w:r>
        <w:t xml:space="preserve"> </w:t>
      </w:r>
      <w:r>
        <w:t xml:space="preserve">0.225 kg CO2e / unit</w:t>
      </w:r>
    </w:p>
    <w:bookmarkEnd w:id="42"/>
    <w:bookmarkStart w:id="43" w:name="use-of-sold-products-category-11"/>
    <w:p>
      <w:pPr>
        <w:pStyle w:val="Heading5"/>
      </w:pPr>
      <w:r>
        <w:t xml:space="preserve">Use of Sold Products (Category 11)</w:t>
      </w:r>
    </w:p>
    <w:p>
      <w:pPr>
        <w:numPr>
          <w:ilvl w:val="0"/>
          <w:numId w:val="1012"/>
        </w:numPr>
        <w:pStyle w:val="Compact"/>
      </w:pPr>
      <w:r>
        <w:rPr>
          <w:bCs/>
          <w:b/>
        </w:rPr>
        <w:t xml:space="preserve">Product Lifespan:</w:t>
      </w:r>
      <w:r>
        <w:t xml:space="preserve"> </w:t>
      </w:r>
      <w:r>
        <w:t xml:space="preserve">5 years (proqdnfmoy)</w:t>
      </w:r>
    </w:p>
    <w:p>
      <w:pPr>
        <w:numPr>
          <w:ilvl w:val="0"/>
          <w:numId w:val="1012"/>
        </w:numPr>
        <w:pStyle w:val="Compact"/>
      </w:pPr>
      <w:r>
        <w:rPr>
          <w:bCs/>
          <w:b/>
        </w:rPr>
        <w:t xml:space="preserve">Energy Consumption in Use:</w:t>
      </w:r>
      <w:r>
        <w:t xml:space="preserve"> </w:t>
      </w:r>
      <w:r>
        <w:t xml:space="preserve">10 kWh/year (qxjmetulem)</w:t>
      </w:r>
    </w:p>
    <w:p>
      <w:pPr>
        <w:numPr>
          <w:ilvl w:val="0"/>
          <w:numId w:val="1012"/>
        </w:numPr>
        <w:pStyle w:val="Compact"/>
      </w:pPr>
      <w:r>
        <w:rPr>
          <w:bCs/>
          <w:b/>
        </w:rPr>
        <w:t xml:space="preserve">Average European Electricity Grid Emission Factor (Illustrative):</w:t>
      </w:r>
      <w:r>
        <w:t xml:space="preserve"> </w:t>
      </w:r>
      <w:r>
        <w:t xml:space="preserve">0.25 kg CO2e/kWh (secondary data).</w:t>
      </w:r>
    </w:p>
    <w:p>
      <w:pPr>
        <w:pStyle w:val="FirstParagraph"/>
      </w:pPr>
      <w:r>
        <w:rPr>
          <w:bCs/>
          <w:b/>
        </w:rPr>
        <w:t xml:space="preserve">Calculation:</w:t>
      </w:r>
      <w:r>
        <w:t xml:space="preserve"> </w:t>
      </w:r>
      <w:r>
        <w:t xml:space="preserve">10 kWh/year * 5 years * 0.25 kg CO2e/kWh = 12.5 kg CO2e / unit</w:t>
      </w:r>
    </w:p>
    <w:p>
      <w:pPr>
        <w:pStyle w:val="BodyText"/>
      </w:pPr>
      <w:r>
        <w:rPr>
          <w:bCs/>
          <w:b/>
        </w:rPr>
        <w:t xml:space="preserve">Subtotal Use Phase:</w:t>
      </w:r>
      <w:r>
        <w:t xml:space="preserve"> </w:t>
      </w:r>
      <w:r>
        <w:t xml:space="preserve">12.50 kg CO2e / unit</w:t>
      </w:r>
    </w:p>
    <w:bookmarkEnd w:id="43"/>
    <w:bookmarkStart w:id="44" w:name="X7eecd0528a4129578e12f0f82acdf78ed4201e7"/>
    <w:p>
      <w:pPr>
        <w:pStyle w:val="Heading5"/>
      </w:pPr>
      <w:r>
        <w:t xml:space="preserve">End-of-Life Treatment of Sold Products (Category 12)</w:t>
      </w:r>
    </w:p>
    <w:p>
      <w:pPr>
        <w:numPr>
          <w:ilvl w:val="0"/>
          <w:numId w:val="1013"/>
        </w:numPr>
        <w:pStyle w:val="Compact"/>
      </w:pPr>
      <w:r>
        <w:rPr>
          <w:bCs/>
          <w:b/>
        </w:rPr>
        <w:t xml:space="preserve">Recyclability Percentage:</w:t>
      </w:r>
      <w:r>
        <w:t xml:space="preserve"> </w:t>
      </w:r>
      <w:r>
        <w:t xml:space="preserve">70% (xqxtfgkugd)</w:t>
      </w:r>
    </w:p>
    <w:p>
      <w:pPr>
        <w:numPr>
          <w:ilvl w:val="0"/>
          <w:numId w:val="1013"/>
        </w:numPr>
        <w:pStyle w:val="Compact"/>
      </w:pPr>
      <w:r>
        <w:rPr>
          <w:bCs/>
          <w:b/>
        </w:rPr>
        <w:t xml:space="preserve">Product Mass (illustrative):</w:t>
      </w:r>
      <w:r>
        <w:t xml:space="preserve"> </w:t>
      </w:r>
      <w:r>
        <w:t xml:space="preserve">0.9 kg (from BOM)</w:t>
      </w:r>
    </w:p>
    <w:p>
      <w:pPr>
        <w:numPr>
          <w:ilvl w:val="0"/>
          <w:numId w:val="1013"/>
        </w:numPr>
        <w:pStyle w:val="Compact"/>
      </w:pPr>
      <w:r>
        <w:rPr>
          <w:bCs/>
          <w:b/>
        </w:rPr>
        <w:t xml:space="preserve">Mass Recycled:</w:t>
      </w:r>
      <w:r>
        <w:t xml:space="preserve"> </w:t>
      </w:r>
      <w:r>
        <w:t xml:space="preserve">0.9 kg * 0.70 = 0.63 kg</w:t>
      </w:r>
    </w:p>
    <w:p>
      <w:pPr>
        <w:numPr>
          <w:ilvl w:val="0"/>
          <w:numId w:val="1013"/>
        </w:numPr>
        <w:pStyle w:val="Compact"/>
      </w:pPr>
      <w:r>
        <w:rPr>
          <w:bCs/>
          <w:b/>
        </w:rPr>
        <w:t xml:space="preserve">Mass to Landfill/Incineration:</w:t>
      </w:r>
      <w:r>
        <w:t xml:space="preserve"> </w:t>
      </w:r>
      <w:r>
        <w:t xml:space="preserve">0.9 kg * (1 - 0.70) = 0.27 kg</w:t>
      </w:r>
    </w:p>
    <w:p>
      <w:pPr>
        <w:pStyle w:val="FirstParagraph"/>
      </w:pPr>
      <w:r>
        <w:t xml:space="preserve">Assuming EFs: Recycling (net benefit/burden, e.g., -0.5 kg CO2e/kg if displacing virgin material), Landfill (0.3 kg CO2e/kg), Incineration (1.0 kg CO2e/kg).</w:t>
      </w:r>
    </w:p>
    <w:p>
      <w:pPr>
        <w:pStyle w:val="BodyText"/>
      </w:pPr>
      <w:r>
        <w:t xml:space="preserve">The presence of \'erwqskjulm\' (Circular/Take-back Programs) suggests an increased likelihood of materials entering recycling streams, thus enhancing the actual recyclability beyond just theoretical potential. This report assumes the 70% recyclability effectively enters appropriate EoL streams. For simplicity in this illustrative calculation, we will consider the gross impact of disposal, with the understanding that circular programs aim to reduce this.</w:t>
      </w:r>
    </w:p>
    <w:p>
      <w:pPr>
        <w:pStyle w:val="BodyText"/>
      </w:pPr>
      <w:r>
        <w:rPr>
          <w:bCs/>
          <w:b/>
        </w:rPr>
        <w:t xml:space="preserve">Calculation (Illustrative, considering net impact of recycling):</w:t>
      </w:r>
    </w:p>
    <w:p>
      <w:pPr>
        <w:numPr>
          <w:ilvl w:val="0"/>
          <w:numId w:val="1014"/>
        </w:numPr>
        <w:pStyle w:val="Compact"/>
      </w:pPr>
      <w:r>
        <w:t xml:space="preserve">Recycling Benefit (e.g., 0.63 kg * -0.5 kg CO2e/kg): -0.315 kg CO2e</w:t>
      </w:r>
    </w:p>
    <w:p>
      <w:pPr>
        <w:numPr>
          <w:ilvl w:val="0"/>
          <w:numId w:val="1014"/>
        </w:numPr>
        <w:pStyle w:val="Compact"/>
      </w:pPr>
      <w:r>
        <w:t xml:space="preserve">Disposal Burden (e.g., 0.27 kg * 0.8 kg CO2e/kg for mixed waste): 0.216 kg CO2e</w:t>
      </w:r>
    </w:p>
    <w:p>
      <w:pPr>
        <w:pStyle w:val="FirstParagraph"/>
      </w:pPr>
      <w:r>
        <w:rPr>
          <w:bCs/>
          <w:b/>
        </w:rPr>
        <w:t xml:space="preserve">Subtotal End-of-Life:</w:t>
      </w:r>
      <w:r>
        <w:t xml:space="preserve"> </w:t>
      </w:r>
      <w:r>
        <w:t xml:space="preserve">-0.099 kg CO2e / unit (net benefit due to recycling)</w:t>
      </w:r>
    </w:p>
    <w:bookmarkEnd w:id="44"/>
    <w:bookmarkEnd w:id="45"/>
    <w:bookmarkStart w:id="46" w:name="total-scope-3-emissions"/>
    <w:p>
      <w:pPr>
        <w:pStyle w:val="Heading4"/>
      </w:pPr>
      <w:r>
        <w:t xml:space="preserve">4.3.3 Total Scope 3 Emissions</w:t>
      </w:r>
    </w:p>
    <w:p>
      <w:pPr>
        <w:pStyle w:val="FirstParagraph"/>
      </w:pPr>
      <w:r>
        <w:t xml:space="preserve">Total Scope 3 = (Materials) + (Upstream Transport) + (Downstream Transport) + (Use Phase) + (End-of-Life)</w:t>
      </w:r>
      <w:r>
        <w:br/>
      </w:r>
      <w:r>
        <w:t xml:space="preserve">6.64 + 0.069 + 0.225 + 12.50 - 0.099 =</w:t>
      </w:r>
      <w:r>
        <w:t xml:space="preserve"> </w:t>
      </w:r>
      <w:r>
        <w:rPr>
          <w:bCs/>
          <w:b/>
        </w:rPr>
        <w:t xml:space="preserve">19.335 kg CO2e / unit</w:t>
      </w:r>
    </w:p>
    <w:bookmarkEnd w:id="46"/>
    <w:bookmarkEnd w:id="47"/>
    <w:bookmarkStart w:id="48" w:name="total-product-carbon-footprint"/>
    <w:p>
      <w:pPr>
        <w:pStyle w:val="Heading3"/>
      </w:pPr>
      <w:r>
        <w:t xml:space="preserve">4.4 Total Product Carbon Footprint</w:t>
      </w:r>
    </w:p>
    <w:p>
      <w:pPr>
        <w:pStyle w:val="FirstParagraph"/>
      </w:pPr>
      <w:r>
        <w:t xml:space="preserve">Total PCF = Scope 1 + Scope 2 + Scope 3</w:t>
      </w:r>
      <w:r>
        <w:br/>
      </w:r>
      <w:r>
        <w:t xml:space="preserve">0.10 + 1.05 + 19.335 =</w:t>
      </w:r>
      <w:r>
        <w:t xml:space="preserve"> </w:t>
      </w:r>
      <w:r>
        <w:rPr>
          <w:bCs/>
          <w:b/>
        </w:rPr>
        <w:t xml:space="preserve">20.485 kg CO2e / unit</w:t>
      </w:r>
    </w:p>
    <w:p>
      <w:pPr>
        <w:pStyle w:val="BodyText"/>
      </w:pPr>
      <w:r>
        <w:br/>
      </w:r>
    </w:p>
    <w:bookmarkEnd w:id="48"/>
    <w:bookmarkStart w:id="49"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Stage(s)</w:t>
            </w:r>
          </w:p>
        </w:tc>
        <w:tc>
          <w:tcPr/>
          <w:p>
            <w:pPr>
              <w:pStyle w:val="Compact"/>
              <w:jc w:val="left"/>
            </w:pPr>
            <w:r>
              <w:t xml:space="preserve">Emissions (kg CO2e / unit)</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Operations (e.g., On-site Fuel Combustion)</w:t>
            </w:r>
          </w:p>
        </w:tc>
        <w:tc>
          <w:tcPr/>
          <w:p>
            <w:pPr>
              <w:pStyle w:val="Compact"/>
              <w:jc w:val="left"/>
            </w:pPr>
            <w:r>
              <w:t xml:space="preserve">0.10</w:t>
            </w:r>
          </w:p>
        </w:tc>
        <w:tc>
          <w:tcPr/>
          <w:p>
            <w:pPr>
              <w:pStyle w:val="Compact"/>
              <w:jc w:val="left"/>
            </w:pPr>
            <w:r>
              <w:t xml:space="preserve">0.49%</w:t>
            </w:r>
          </w:p>
        </w:tc>
      </w:tr>
      <w:tr>
        <w:tc>
          <w:tcPr/>
          <w:p>
            <w:pPr>
              <w:pStyle w:val="Compact"/>
              <w:jc w:val="left"/>
            </w:pPr>
            <w:r>
              <w:t xml:space="preserve">Scope 2</w:t>
            </w:r>
          </w:p>
        </w:tc>
        <w:tc>
          <w:tcPr/>
          <w:p>
            <w:pPr>
              <w:pStyle w:val="Compact"/>
              <w:jc w:val="left"/>
            </w:pPr>
            <w:r>
              <w:t xml:space="preserve">Purchased Electricity for Production</w:t>
            </w:r>
          </w:p>
        </w:tc>
        <w:tc>
          <w:tcPr/>
          <w:p>
            <w:pPr>
              <w:pStyle w:val="Compact"/>
              <w:jc w:val="left"/>
            </w:pPr>
            <w:r>
              <w:t xml:space="preserve">1.05</w:t>
            </w:r>
          </w:p>
        </w:tc>
        <w:tc>
          <w:tcPr/>
          <w:p>
            <w:pPr>
              <w:pStyle w:val="Compact"/>
              <w:jc w:val="left"/>
            </w:pPr>
            <w:r>
              <w:t xml:space="preserve">5.12%</w:t>
            </w:r>
          </w:p>
        </w:tc>
      </w:tr>
      <w:tr>
        <w:tc>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6.64</w:t>
            </w:r>
          </w:p>
        </w:tc>
        <w:tc>
          <w:tcPr/>
          <w:p>
            <w:pPr>
              <w:pStyle w:val="Compact"/>
              <w:jc w:val="left"/>
            </w:pPr>
            <w:r>
              <w:t xml:space="preserve">32.41%</w:t>
            </w:r>
          </w:p>
        </w:tc>
      </w:tr>
      <w:tr>
        <w:tc>
          <w:tcPr/>
          <w:p>
            <w:pPr>
              <w:pStyle w:val="Compact"/>
              <w:jc w:val="left"/>
            </w:pPr>
            <w:r>
              <w:t xml:space="preserve">Scope 3</w:t>
            </w:r>
          </w:p>
        </w:tc>
        <w:tc>
          <w:tcPr/>
          <w:p>
            <w:pPr>
              <w:pStyle w:val="Compact"/>
              <w:jc w:val="left"/>
            </w:pPr>
            <w:r>
              <w:t xml:space="preserve">Upstream Transportation &amp; Distribution</w:t>
            </w:r>
          </w:p>
        </w:tc>
        <w:tc>
          <w:tcPr/>
          <w:p>
            <w:pPr>
              <w:pStyle w:val="Compact"/>
              <w:jc w:val="left"/>
            </w:pPr>
            <w:r>
              <w:t xml:space="preserve">0.069</w:t>
            </w:r>
          </w:p>
        </w:tc>
        <w:tc>
          <w:tcPr/>
          <w:p>
            <w:pPr>
              <w:pStyle w:val="Compact"/>
              <w:jc w:val="left"/>
            </w:pPr>
            <w:r>
              <w:t xml:space="preserve">0.34%</w:t>
            </w:r>
          </w:p>
        </w:tc>
      </w:tr>
      <w:tr>
        <w:tc>
          <w:tcPr/>
          <w:p>
            <w:pPr>
              <w:pStyle w:val="Compact"/>
              <w:jc w:val="left"/>
            </w:pPr>
            <w:r>
              <w:t xml:space="preserve">Scope 3</w:t>
            </w:r>
          </w:p>
        </w:tc>
        <w:tc>
          <w:tcPr/>
          <w:p>
            <w:pPr>
              <w:pStyle w:val="Compact"/>
              <w:jc w:val="left"/>
            </w:pPr>
            <w:r>
              <w:t xml:space="preserve">Downstream Transportation &amp; Distribution</w:t>
            </w:r>
          </w:p>
        </w:tc>
        <w:tc>
          <w:tcPr/>
          <w:p>
            <w:pPr>
              <w:pStyle w:val="Compact"/>
              <w:jc w:val="left"/>
            </w:pPr>
            <w:r>
              <w:t xml:space="preserve">0.225</w:t>
            </w:r>
          </w:p>
        </w:tc>
        <w:tc>
          <w:tcPr/>
          <w:p>
            <w:pPr>
              <w:pStyle w:val="Compact"/>
              <w:jc w:val="left"/>
            </w:pPr>
            <w:r>
              <w:t xml:space="preserve">1.10%</w:t>
            </w:r>
          </w:p>
        </w:tc>
      </w:tr>
      <w:tr>
        <w:tc>
          <w:tcPr/>
          <w:p>
            <w:pPr>
              <w:pStyle w:val="Compact"/>
              <w:jc w:val="left"/>
            </w:pPr>
            <w:r>
              <w:t xml:space="preserve">Scope 3</w:t>
            </w:r>
          </w:p>
        </w:tc>
        <w:tc>
          <w:tcPr/>
          <w:p>
            <w:pPr>
              <w:pStyle w:val="Compact"/>
              <w:jc w:val="left"/>
            </w:pPr>
            <w:r>
              <w:t xml:space="preserve">Use of Sold Products</w:t>
            </w:r>
          </w:p>
        </w:tc>
        <w:tc>
          <w:tcPr/>
          <w:p>
            <w:pPr>
              <w:pStyle w:val="Compact"/>
              <w:jc w:val="left"/>
            </w:pPr>
            <w:r>
              <w:t xml:space="preserve">12.50</w:t>
            </w:r>
          </w:p>
        </w:tc>
        <w:tc>
          <w:tcPr/>
          <w:p>
            <w:pPr>
              <w:pStyle w:val="Compact"/>
              <w:jc w:val="left"/>
            </w:pPr>
            <w:r>
              <w:t xml:space="preserve">61.02%</w:t>
            </w:r>
          </w:p>
        </w:tc>
      </w:tr>
      <w:tr>
        <w:tc>
          <w:tcPr/>
          <w:p>
            <w:pPr>
              <w:pStyle w:val="Compact"/>
              <w:jc w:val="left"/>
            </w:pPr>
            <w:r>
              <w:t xml:space="preserve">Scope 3</w:t>
            </w:r>
          </w:p>
        </w:tc>
        <w:tc>
          <w:tcPr/>
          <w:p>
            <w:pPr>
              <w:pStyle w:val="Compact"/>
              <w:jc w:val="left"/>
            </w:pPr>
            <w:r>
              <w:t xml:space="preserve">End-of-Life Treatment of Sold Products</w:t>
            </w:r>
          </w:p>
        </w:tc>
        <w:tc>
          <w:tcPr/>
          <w:p>
            <w:pPr>
              <w:pStyle w:val="Compact"/>
              <w:jc w:val="left"/>
            </w:pPr>
            <w:r>
              <w:t xml:space="preserve">-0.099</w:t>
            </w:r>
          </w:p>
        </w:tc>
        <w:tc>
          <w:tcPr/>
          <w:p>
            <w:pPr>
              <w:pStyle w:val="Compact"/>
              <w:jc w:val="left"/>
            </w:pPr>
            <w:r>
              <w:t xml:space="preserve">-0.48%</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20.485</w:t>
            </w:r>
          </w:p>
        </w:tc>
        <w:tc>
          <w:tcPr/>
          <w:p>
            <w:pPr>
              <w:pStyle w:val="Compact"/>
              <w:jc w:val="left"/>
            </w:pPr>
            <w:r>
              <w:rPr>
                <w:bCs/>
                <w:b/>
              </w:rPr>
              <w:t xml:space="preserve">100.00%</w:t>
            </w:r>
          </w:p>
        </w:tc>
      </w:tr>
    </w:tbl>
    <w:p>
      <w:r>
        <w:pict>
          <v:rect style="width:0;height:1.5pt" o:hralign="center" o:hrstd="t" o:hr="t"/>
        </w:pict>
      </w:r>
    </w:p>
    <w:bookmarkEnd w:id="49"/>
    <w:bookmarkEnd w:id="50"/>
    <w:bookmarkStart w:id="54" w:name="review-report"/>
    <w:p>
      <w:pPr>
        <w:pStyle w:val="Heading2"/>
      </w:pPr>
      <w:r>
        <w:t xml:space="preserve">5. Review &amp; Report</w:t>
      </w:r>
    </w:p>
    <w:bookmarkStart w:id="51" w:name="hotspots-identification"/>
    <w:p>
      <w:pPr>
        <w:pStyle w:val="Heading3"/>
      </w:pPr>
      <w:r>
        <w:t xml:space="preserve">5.1 Hotspots Identification</w:t>
      </w:r>
    </w:p>
    <w:p>
      <w:pPr>
        <w:pStyle w:val="FirstParagraph"/>
      </w:pPr>
      <w:r>
        <w:t xml:space="preserve">Based on the calculations, the primary emission hotspots for</w:t>
      </w:r>
      <w:r>
        <w:t xml:space="preserve"> </w:t>
      </w:r>
      <w:r>
        <w:rPr>
          <w:bCs/>
          <w:b/>
        </w:rPr>
        <w:t xml:space="preserve">justiywkst</w:t>
      </w:r>
      <w:r>
        <w:t xml:space="preserve"> </w:t>
      </w:r>
      <w:r>
        <w:t xml:space="preserve">are:</w:t>
      </w:r>
    </w:p>
    <w:p>
      <w:pPr>
        <w:numPr>
          <w:ilvl w:val="0"/>
          <w:numId w:val="1015"/>
        </w:numPr>
        <w:pStyle w:val="Compact"/>
      </w:pPr>
      <w:r>
        <w:rPr>
          <w:bCs/>
          <w:b/>
        </w:rPr>
        <w:t xml:space="preserve">Use Phase (61.02%):</w:t>
      </w:r>
      <w:r>
        <w:t xml:space="preserve"> </w:t>
      </w:r>
      <w:r>
        <w:t xml:space="preserve">This is the most significant hotspot, primarily driven by the energy consumption of the product over its 5-year lifespan (proqdnfmoy) and the \'qxjmetulem\' energy consumption.</w:t>
      </w:r>
    </w:p>
    <w:p>
      <w:pPr>
        <w:numPr>
          <w:ilvl w:val="0"/>
          <w:numId w:val="1015"/>
        </w:numPr>
        <w:pStyle w:val="Compact"/>
      </w:pPr>
      <w:r>
        <w:rPr>
          <w:bCs/>
          <w:b/>
        </w:rPr>
        <w:t xml:space="preserve">Purchased Goods and Services (Materials) (32.41%):</w:t>
      </w:r>
      <w:r>
        <w:t xml:space="preserve"> </w:t>
      </w:r>
      <w:r>
        <w:t xml:space="preserve">Certain materials, such as Silicon Chips and Aluminum Alloy, contribute substantially due to their high embodied emissions from extraction and processing.</w:t>
      </w:r>
    </w:p>
    <w:p>
      <w:pPr>
        <w:numPr>
          <w:ilvl w:val="0"/>
          <w:numId w:val="1015"/>
        </w:numPr>
        <w:pStyle w:val="Compact"/>
      </w:pPr>
      <w:r>
        <w:rPr>
          <w:bCs/>
          <w:b/>
        </w:rPr>
        <w:t xml:space="preserve">Production (Scope 2) (5.12%):</w:t>
      </w:r>
      <w:r>
        <w:t xml:space="preserve"> </w:t>
      </w:r>
      <w:r>
        <w:t xml:space="preserve">While 65% (dzvyrtjdop) renewable energy is used, the remaining non-renewable portion still contributes notably.</w:t>
      </w:r>
    </w:p>
    <w:bookmarkEnd w:id="51"/>
    <w:bookmarkStart w:id="52" w:name="reliability-and-limitations"/>
    <w:p>
      <w:pPr>
        <w:pStyle w:val="Heading3"/>
      </w:pPr>
      <w:r>
        <w:t xml:space="preserve">5.2 Reliability and Limitations</w:t>
      </w:r>
    </w:p>
    <w:p>
      <w:pPr>
        <w:pStyle w:val="FirstParagraph"/>
      </w:pPr>
      <w:r>
        <w:t xml:space="preserve">The reliability of this PCF analysis is contingent on the accuracy and completeness of the input data.</w:t>
      </w:r>
    </w:p>
    <w:p>
      <w:pPr>
        <w:numPr>
          <w:ilvl w:val="0"/>
          <w:numId w:val="1016"/>
        </w:numPr>
        <w:pStyle w:val="Compact"/>
      </w:pPr>
      <w:r>
        <w:rPr>
          <w:bCs/>
          <w:b/>
        </w:rPr>
        <w:t xml:space="preserve">Data Quality:</w:t>
      </w:r>
      <w:r>
        <w:t xml:space="preserve"> </w:t>
      </w:r>
      <w:r>
        <w:t xml:space="preserve">This report integrates primary data where specified (e.g., energy usage, BOM structure) and supplements it with high-quality secondary data from Ecoinvent/DEFRA for emission factors and general industry averages.</w:t>
      </w:r>
    </w:p>
    <w:p>
      <w:pPr>
        <w:numPr>
          <w:ilvl w:val="0"/>
          <w:numId w:val="1016"/>
        </w:numPr>
        <w:pStyle w:val="Compact"/>
      </w:pPr>
      <w:r>
        <w:rPr>
          <w:bCs/>
          <w:b/>
        </w:rPr>
        <w:t xml:space="preserve">Placeholder Data:</w:t>
      </w:r>
      <w:r>
        <w:t xml:space="preserve"> </w:t>
      </w:r>
      <w:r>
        <w:t xml:space="preserve">Due to the nature of the prompt, several parameters (e.g., \'zvdlwdrk\', \'Select Mode\', \'yfqtgmxxjm\', \'Delivery Type\', \'dzvyrtjdop\', \'xrxthzzzlm\', \'proqdnfmoy\', \'qxjmetulem\', \'xqxtfgkugd\', \'erwqskjulm\') were provided as placeholders. Illustrative values were used for calculation demonstrations. A real-world assessment would require precise, company-specific data for these parameters to yield a definitive PCF.</w:t>
      </w:r>
    </w:p>
    <w:p>
      <w:pPr>
        <w:numPr>
          <w:ilvl w:val="0"/>
          <w:numId w:val="1016"/>
        </w:numPr>
        <w:pStyle w:val="Compact"/>
      </w:pPr>
      <w:r>
        <w:rPr>
          <w:bCs/>
          <w:b/>
        </w:rPr>
        <w:t xml:space="preserve">System Boundary:</w:t>
      </w:r>
      <w:r>
        <w:t xml:space="preserve"> </w:t>
      </w:r>
      <w:r>
        <w:t xml:space="preserve">The "factory_gate" system boundary for direct operations means some upstream impacts before material acquisition are captured in Scope 3 rather than direct operational scopes.</w:t>
      </w:r>
    </w:p>
    <w:p>
      <w:pPr>
        <w:numPr>
          <w:ilvl w:val="0"/>
          <w:numId w:val="1016"/>
        </w:numPr>
        <w:pStyle w:val="Compact"/>
      </w:pPr>
      <w:r>
        <w:rPr>
          <w:bCs/>
          <w:b/>
        </w:rPr>
        <w:t xml:space="preserve">LSR Standard:</w:t>
      </w:r>
      <w:r>
        <w:t xml:space="preserve"> </w:t>
      </w:r>
      <w:r>
        <w:t xml:space="preserve">The 2026 LSR Standard for land use and removals is conceptually applied, acknowledging its upcoming effective date of January 1, 2027 and its importance for comprehensive accounting. Specific land-use change data was not available for direct calculation but would be crucial for products with significant agricultural or forestry inputs. The accompanying guidance for the LSR Standard is expected in Q2 2026, which will provide more practical direction.</w:t>
      </w:r>
    </w:p>
    <w:p>
      <w:pPr>
        <w:numPr>
          <w:ilvl w:val="0"/>
          <w:numId w:val="1016"/>
        </w:numPr>
        <w:pStyle w:val="Compact"/>
      </w:pPr>
      <w:r>
        <w:rPr>
          <w:bCs/>
          <w:b/>
        </w:rPr>
        <w:t xml:space="preserve">Scope 3 Coverage:</w:t>
      </w:r>
      <w:r>
        <w:t xml:space="preserve"> </w:t>
      </w:r>
      <w:r>
        <w:t xml:space="preserve">The analysis endeavors to achieve the 95% Scope 3 coverage target, focusing on the most material categories. Further detailed analysis of all 15 Scope 3 categories would be required for absolute certainty.</w:t>
      </w:r>
    </w:p>
    <w:bookmarkEnd w:id="52"/>
    <w:bookmarkStart w:id="53" w:name="recommendations-for-emission-reduction"/>
    <w:p>
      <w:pPr>
        <w:pStyle w:val="Heading3"/>
      </w:pPr>
      <w:r>
        <w:t xml:space="preserve">5.3 Recommendations for Emission Reduction</w:t>
      </w:r>
    </w:p>
    <w:p>
      <w:pPr>
        <w:pStyle w:val="FirstParagraph"/>
      </w:pPr>
      <w:r>
        <w:t xml:space="preserve">To mitigate the carbon footprint of</w:t>
      </w:r>
      <w:r>
        <w:t xml:space="preserve"> </w:t>
      </w:r>
      <w:r>
        <w:rPr>
          <w:bCs/>
          <w:b/>
        </w:rPr>
        <w:t xml:space="preserve">justiywkst</w:t>
      </w:r>
      <w:r>
        <w:t xml:space="preserve">,</w:t>
      </w:r>
      <w:r>
        <w:t xml:space="preserve"> </w:t>
      </w:r>
      <w:r>
        <w:rPr>
          <w:bCs/>
          <w:b/>
        </w:rPr>
        <w:t xml:space="preserve">fzjwvuytih</w:t>
      </w:r>
      <w:r>
        <w:t xml:space="preserve"> </w:t>
      </w:r>
      <w:r>
        <w:t xml:space="preserve">should consider the following:</w:t>
      </w:r>
    </w:p>
    <w:p>
      <w:pPr>
        <w:numPr>
          <w:ilvl w:val="0"/>
          <w:numId w:val="1017"/>
        </w:numPr>
        <w:pStyle w:val="Compact"/>
      </w:pPr>
      <w:r>
        <w:rPr>
          <w:bCs/>
          <w:b/>
        </w:rPr>
        <w:t xml:space="preserve">Use Phase Optimization:</w:t>
      </w:r>
      <w:r>
        <w:t xml:space="preserve"> </w:t>
      </w:r>
      <w:r>
        <w:t xml:space="preserve">Invest in product design that reduces energy consumption during the \'proqdnfmoy\' lifespan, potentially through more energy-efficient components (improving \'qxjmetulem\') or smarter power management features. Educate consumers on efficient product use.</w:t>
      </w:r>
    </w:p>
    <w:p>
      <w:pPr>
        <w:numPr>
          <w:ilvl w:val="0"/>
          <w:numId w:val="1017"/>
        </w:numPr>
        <w:pStyle w:val="Compact"/>
      </w:pPr>
      <w:r>
        <w:rPr>
          <w:bCs/>
          <w:b/>
        </w:rPr>
        <w:t xml:space="preserve">Material Decarbonization:</w:t>
      </w:r>
      <w:r>
        <w:t xml:space="preserve"> </w:t>
      </w:r>
      <w:r>
        <w:t xml:space="preserve">Explore opportunities to substitute high-impact materials (e.g., primary Aluminum, Silicon) with lower-carbon alternatives, such as increased recycled content or bio-based materials, where feasible without compromising product quality or performance. Engage with suppliers to reduce the embodied emissions of purchased goods.</w:t>
      </w:r>
    </w:p>
    <w:p>
      <w:pPr>
        <w:numPr>
          <w:ilvl w:val="0"/>
          <w:numId w:val="1017"/>
        </w:numPr>
        <w:pStyle w:val="Compact"/>
      </w:pPr>
      <w:r>
        <w:rPr>
          <w:bCs/>
          <w:b/>
        </w:rPr>
        <w:t xml:space="preserve">Renewable Energy Expansion:</w:t>
      </w:r>
      <w:r>
        <w:t xml:space="preserve"> </w:t>
      </w:r>
      <w:r>
        <w:t xml:space="preserve">Increase the percentage of renewable energy usage (dzvyrtjdop) at the production facility and investigate sourcing renewable energy for upstream manufacturing processes within the supply chain.</w:t>
      </w:r>
    </w:p>
    <w:p>
      <w:pPr>
        <w:numPr>
          <w:ilvl w:val="0"/>
          <w:numId w:val="1017"/>
        </w:numPr>
        <w:pStyle w:val="Compact"/>
      </w:pPr>
      <w:r>
        <w:rPr>
          <w:bCs/>
          <w:b/>
        </w:rPr>
        <w:t xml:space="preserve">Logistics Efficiency:</w:t>
      </w:r>
      <w:r>
        <w:t xml:space="preserve"> </w:t>
      </w:r>
      <w:r>
        <w:t xml:space="preserve">Optimize transport routes, explore lower-emission transport modes (e.g., rail, electric vehicles) for \'Select Mode\' and \'Delivery Type\', and improve loading efficiency to reduce the impact of \'yfqtgmxxjm\' distances.</w:t>
      </w:r>
    </w:p>
    <w:p>
      <w:pPr>
        <w:numPr>
          <w:ilvl w:val="0"/>
          <w:numId w:val="1017"/>
        </w:numPr>
        <w:pStyle w:val="Compact"/>
      </w:pPr>
      <w:r>
        <w:rPr>
          <w:bCs/>
          <w:b/>
        </w:rPr>
        <w:t xml:space="preserve">Circular Economy Enhancement:</w:t>
      </w:r>
      <w:r>
        <w:t xml:space="preserve"> </w:t>
      </w:r>
      <w:r>
        <w:t xml:space="preserve">Strengthen \'erwqskjulm\' (circular/take-back programs) to boost the actual \'xqxtfgkugd\' recyclability beyond theoretical potential and explore product-as-a-service models or extended producer responsibility schemes to maximize resource recovery.</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justiywkst</dc:title>
  <dc:creator/>
  <dc:description>High-detail Product Carbon Footprint (PCF) analysis report for justiywkst by fzjwvuytih, adhering to GHG Protocol standards and 2026 LSR update.</dc:description>
  <dc:language>en</dc:language>
  <cp:keywords/>
  <dcterms:created xsi:type="dcterms:W3CDTF">2026-07-15T12:47:16Z</dcterms:created>
  <dcterms:modified xsi:type="dcterms:W3CDTF">2026-07-15T12:47:16Z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